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ascii="宋体" w:hAnsi="宋体" w:eastAsia="宋体" w:cs="Times New Roman"/>
          <w:b/>
          <w:sz w:val="80"/>
          <w:szCs w:val="80"/>
        </w:rPr>
      </w:pPr>
    </w:p>
    <w:p>
      <w:pPr>
        <w:spacing w:line="360" w:lineRule="auto"/>
        <w:jc w:val="center"/>
        <w:rPr>
          <w:rFonts w:ascii="今晚月色真美呢" w:hAnsi="今晚月色真美呢" w:eastAsia="今晚月色真美呢" w:cs="今晚月色真美呢"/>
          <w:b/>
          <w:sz w:val="80"/>
          <w:szCs w:val="80"/>
        </w:rPr>
      </w:pPr>
      <w:r>
        <w:rPr>
          <w:rFonts w:hint="eastAsia" w:ascii="今晚月色真美呢" w:hAnsi="今晚月色真美呢" w:eastAsia="今晚月色真美呢" w:cs="今晚月色真美呢"/>
          <w:b/>
          <w:sz w:val="80"/>
          <w:szCs w:val="80"/>
        </w:rPr>
        <w:t>质量诚信报告</w:t>
      </w:r>
    </w:p>
    <w:p>
      <w:pPr>
        <w:spacing w:line="360" w:lineRule="auto"/>
        <w:jc w:val="center"/>
        <w:rPr>
          <w:rFonts w:ascii="今晚月色真美呢" w:hAnsi="今晚月色真美呢" w:eastAsia="今晚月色真美呢" w:cs="今晚月色真美呢"/>
          <w:b/>
          <w:sz w:val="80"/>
          <w:szCs w:val="80"/>
        </w:rPr>
      </w:pPr>
      <w:r>
        <w:rPr>
          <w:rFonts w:hint="eastAsia" w:ascii="今晚月色真美呢" w:hAnsi="今晚月色真美呢" w:eastAsia="今晚月色真美呢" w:cs="今晚月色真美呢"/>
          <w:b/>
          <w:sz w:val="80"/>
          <w:szCs w:val="80"/>
        </w:rPr>
        <w:t>（202</w:t>
      </w:r>
      <w:r>
        <w:rPr>
          <w:rFonts w:hint="eastAsia" w:ascii="今晚月色真美呢" w:hAnsi="今晚月色真美呢" w:eastAsia="今晚月色真美呢" w:cs="今晚月色真美呢"/>
          <w:b/>
          <w:sz w:val="80"/>
          <w:szCs w:val="80"/>
          <w:lang w:val="en-US" w:eastAsia="zh-CN"/>
        </w:rPr>
        <w:t>3</w:t>
      </w:r>
      <w:r>
        <w:rPr>
          <w:rFonts w:hint="eastAsia" w:ascii="今晚月色真美呢" w:hAnsi="今晚月色真美呢" w:eastAsia="今晚月色真美呢" w:cs="今晚月色真美呢"/>
          <w:b/>
          <w:sz w:val="80"/>
          <w:szCs w:val="80"/>
        </w:rPr>
        <w:t>年）</w:t>
      </w: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r>
        <w:rPr>
          <w:rFonts w:hint="eastAsia" w:ascii="宋体" w:hAnsi="宋体" w:eastAsia="宋体" w:cs="Times New Roman"/>
          <w:b/>
          <w:sz w:val="80"/>
          <w:szCs w:val="80"/>
        </w:rPr>
        <w:drawing>
          <wp:inline distT="0" distB="0" distL="114300" distR="114300">
            <wp:extent cx="5911850" cy="868045"/>
            <wp:effectExtent l="0" t="0" r="1270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911850" cy="868045"/>
                    </a:xfrm>
                    <a:prstGeom prst="rect">
                      <a:avLst/>
                    </a:prstGeom>
                    <a:noFill/>
                    <a:ln>
                      <a:noFill/>
                    </a:ln>
                  </pic:spPr>
                </pic:pic>
              </a:graphicData>
            </a:graphic>
          </wp:inline>
        </w:drawing>
      </w: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宋体" w:hAnsi="宋体" w:eastAsia="宋体" w:cs="Times New Roman"/>
          <w:b/>
          <w:sz w:val="36"/>
          <w:szCs w:val="36"/>
        </w:rPr>
      </w:pPr>
    </w:p>
    <w:p>
      <w:pPr>
        <w:spacing w:line="312" w:lineRule="auto"/>
        <w:jc w:val="center"/>
        <w:rPr>
          <w:rFonts w:ascii="今晚月色真美呢" w:hAnsi="今晚月色真美呢" w:eastAsia="今晚月色真美呢" w:cs="今晚月色真美呢"/>
          <w:b/>
          <w:sz w:val="36"/>
          <w:szCs w:val="36"/>
        </w:rPr>
      </w:pPr>
      <w:r>
        <w:rPr>
          <w:rFonts w:hint="eastAsia" w:ascii="今晚月色真美呢" w:hAnsi="今晚月色真美呢" w:eastAsia="今晚月色真美呢" w:cs="今晚月色真美呢"/>
          <w:b/>
          <w:sz w:val="36"/>
          <w:szCs w:val="36"/>
        </w:rPr>
        <w:t>杭州川禾机械有限公司</w:t>
      </w:r>
    </w:p>
    <w:p>
      <w:pPr>
        <w:spacing w:line="312" w:lineRule="auto"/>
        <w:jc w:val="center"/>
        <w:rPr>
          <w:rFonts w:ascii="宋体" w:hAnsi="宋体" w:eastAsia="宋体" w:cs="Times New Roman"/>
          <w:b/>
          <w:sz w:val="36"/>
          <w:szCs w:val="36"/>
        </w:rPr>
      </w:pPr>
      <w:r>
        <w:rPr>
          <w:rFonts w:hint="eastAsia" w:ascii="今晚月色真美呢" w:hAnsi="今晚月色真美呢" w:eastAsia="今晚月色真美呢" w:cs="今晚月色真美呢"/>
          <w:b/>
          <w:sz w:val="36"/>
          <w:szCs w:val="36"/>
        </w:rPr>
        <w:t>202</w:t>
      </w:r>
      <w:r>
        <w:rPr>
          <w:rFonts w:hint="eastAsia" w:ascii="今晚月色真美呢" w:hAnsi="今晚月色真美呢" w:eastAsia="今晚月色真美呢" w:cs="今晚月色真美呢"/>
          <w:b/>
          <w:sz w:val="36"/>
          <w:szCs w:val="36"/>
          <w:lang w:val="en-US" w:eastAsia="zh-CN"/>
        </w:rPr>
        <w:t>4</w:t>
      </w:r>
      <w:r>
        <w:rPr>
          <w:rFonts w:hint="eastAsia" w:ascii="今晚月色真美呢" w:hAnsi="今晚月色真美呢" w:eastAsia="今晚月色真美呢" w:cs="今晚月色真美呢"/>
          <w:b/>
          <w:sz w:val="36"/>
          <w:szCs w:val="36"/>
        </w:rPr>
        <w:t>年0</w:t>
      </w:r>
      <w:r>
        <w:rPr>
          <w:rFonts w:hint="eastAsia" w:ascii="今晚月色真美呢" w:hAnsi="今晚月色真美呢" w:eastAsia="今晚月色真美呢" w:cs="今晚月色真美呢"/>
          <w:b/>
          <w:sz w:val="36"/>
          <w:szCs w:val="36"/>
          <w:lang w:val="en-US" w:eastAsia="zh-CN"/>
        </w:rPr>
        <w:t>5</w:t>
      </w:r>
      <w:r>
        <w:rPr>
          <w:rFonts w:hint="eastAsia" w:ascii="今晚月色真美呢" w:hAnsi="今晚月色真美呢" w:eastAsia="今晚月色真美呢" w:cs="今晚月色真美呢"/>
          <w:b/>
          <w:sz w:val="36"/>
          <w:szCs w:val="36"/>
        </w:rPr>
        <w:t>月</w:t>
      </w:r>
    </w:p>
    <w:p>
      <w:pPr>
        <w:rPr>
          <w:rFonts w:ascii="宋体" w:hAnsi="宋体" w:cs="宋体"/>
          <w:b/>
          <w:bCs/>
          <w:color w:val="000000"/>
          <w:kern w:val="32"/>
          <w:sz w:val="28"/>
          <w:szCs w:val="28"/>
        </w:rPr>
        <w:sectPr>
          <w:foot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bCs/>
          <w:color w:val="000000"/>
          <w:kern w:val="32"/>
          <w:sz w:val="28"/>
          <w:szCs w:val="28"/>
        </w:rPr>
        <w:br w:type="page"/>
      </w:r>
    </w:p>
    <w:p>
      <w:pPr>
        <w:spacing w:before="312" w:beforeLines="100" w:after="312" w:afterLines="100" w:line="360" w:lineRule="auto"/>
        <w:jc w:val="center"/>
        <w:outlineLvl w:val="0"/>
        <w:rPr>
          <w:rFonts w:ascii="黑体" w:hAnsi="黑体" w:eastAsia="黑体" w:cs="楷体"/>
          <w:bCs/>
          <w:color w:val="000000"/>
          <w:kern w:val="32"/>
          <w:sz w:val="32"/>
          <w:szCs w:val="40"/>
        </w:rPr>
      </w:pPr>
      <w:bookmarkStart w:id="0" w:name="_Toc48809460"/>
      <w:bookmarkStart w:id="1" w:name="_Toc11669253"/>
      <w:r>
        <w:rPr>
          <w:rFonts w:hint="eastAsia" w:ascii="黑体" w:hAnsi="黑体" w:eastAsia="黑体" w:cs="楷体"/>
          <w:bCs/>
          <w:color w:val="000000"/>
          <w:kern w:val="32"/>
          <w:sz w:val="32"/>
          <w:szCs w:val="40"/>
        </w:rPr>
        <w:t>第一部分 前言</w:t>
      </w:r>
      <w:bookmarkEnd w:id="0"/>
    </w:p>
    <w:p>
      <w:pPr>
        <w:spacing w:line="360" w:lineRule="auto"/>
        <w:jc w:val="left"/>
        <w:outlineLvl w:val="1"/>
        <w:rPr>
          <w:rFonts w:ascii="宋体" w:hAnsi="宋体" w:eastAsia="宋体" w:cs="楷体"/>
          <w:b/>
          <w:color w:val="000000"/>
          <w:sz w:val="28"/>
          <w:szCs w:val="36"/>
        </w:rPr>
      </w:pPr>
      <w:bookmarkStart w:id="2" w:name="_Toc48809461"/>
      <w:r>
        <w:rPr>
          <w:rFonts w:hint="eastAsia" w:ascii="宋体" w:hAnsi="宋体" w:eastAsia="宋体" w:cs="楷体"/>
          <w:b/>
          <w:color w:val="000000"/>
          <w:sz w:val="28"/>
          <w:szCs w:val="36"/>
        </w:rPr>
        <w:t>一、报告编制规范</w:t>
      </w:r>
      <w:bookmarkEnd w:id="2"/>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rPr>
        <w:t>公司</w:t>
      </w:r>
      <w:r>
        <w:rPr>
          <w:rFonts w:hint="eastAsia" w:ascii="宋体" w:hAnsi="宋体" w:eastAsia="宋体" w:cs="微软雅黑"/>
          <w:color w:val="000000"/>
          <w:spacing w:val="-4"/>
          <w:sz w:val="24"/>
          <w:szCs w:val="28"/>
        </w:rPr>
        <w:t>严格遵守国家有关法律、法规及行业标准、规程，依据客观性、时效性、可验性的原则编制《杭州川禾机械有限公司 202</w:t>
      </w:r>
      <w:r>
        <w:rPr>
          <w:rFonts w:hint="eastAsia" w:ascii="宋体" w:hAnsi="宋体" w:eastAsia="宋体" w:cs="微软雅黑"/>
          <w:color w:val="000000"/>
          <w:spacing w:val="-4"/>
          <w:sz w:val="24"/>
          <w:szCs w:val="28"/>
          <w:lang w:val="en-US" w:eastAsia="zh-CN"/>
        </w:rPr>
        <w:t>3</w:t>
      </w:r>
      <w:r>
        <w:rPr>
          <w:rFonts w:hint="eastAsia" w:ascii="宋体" w:hAnsi="宋体" w:eastAsia="宋体" w:cs="微软雅黑"/>
          <w:color w:val="000000"/>
          <w:spacing w:val="-4"/>
          <w:sz w:val="24"/>
          <w:szCs w:val="28"/>
        </w:rPr>
        <w:t>年度质量诚信报告》，旨在使社会各界了解本公司的社会责任的理念和工作开展情况。</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本报告综合评价了公司在质量诚信体系建设的基本情况，是公司贯彻落实国务院《质量发展纲要（2011-2020）》，增强质量诚信自律意识、建立健全质量安全长效机制取得的丰硕成果。</w:t>
      </w:r>
    </w:p>
    <w:p>
      <w:pPr>
        <w:spacing w:line="360" w:lineRule="auto"/>
        <w:ind w:firstLine="466" w:firstLineChars="200"/>
        <w:jc w:val="left"/>
        <w:outlineLvl w:val="2"/>
        <w:rPr>
          <w:rFonts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（一）报告范围</w:t>
      </w:r>
    </w:p>
    <w:bookmarkEnd w:id="1"/>
    <w:p>
      <w:pPr>
        <w:spacing w:line="360" w:lineRule="auto"/>
        <w:ind w:firstLine="464" w:firstLineChars="200"/>
        <w:jc w:val="left"/>
        <w:rPr>
          <w:rFonts w:ascii="宋体" w:hAnsi="宋体" w:eastAsia="宋体" w:cs="微软雅黑"/>
          <w:color w:val="000000"/>
          <w:spacing w:val="-4"/>
          <w:sz w:val="24"/>
          <w:szCs w:val="28"/>
        </w:rPr>
      </w:pPr>
      <w:r>
        <w:rPr>
          <w:rFonts w:ascii="宋体" w:hAnsi="宋体" w:eastAsia="宋体" w:cs="微软雅黑"/>
          <w:color w:val="000000"/>
          <w:spacing w:val="-4"/>
          <w:sz w:val="24"/>
          <w:szCs w:val="28"/>
        </w:rPr>
        <w:t>报告的组织范围：</w:t>
      </w:r>
      <w:r>
        <w:rPr>
          <w:rFonts w:hint="eastAsia" w:ascii="宋体" w:hAnsi="宋体" w:eastAsia="宋体" w:cs="微软雅黑"/>
          <w:color w:val="000000"/>
          <w:spacing w:val="-4"/>
          <w:sz w:val="24"/>
          <w:szCs w:val="28"/>
        </w:rPr>
        <w:t>杭州川禾机械有限公司</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报告的编制依据：GB/T 29467-2012《企业质量诚信管理实施规范》、GB/T 31870-2015《企业质量信用报告编写指南》</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报告的时间范围：202</w:t>
      </w:r>
      <w:r>
        <w:rPr>
          <w:rFonts w:hint="eastAsia" w:ascii="宋体" w:hAnsi="宋体" w:eastAsia="宋体" w:cs="微软雅黑"/>
          <w:color w:val="000000"/>
          <w:spacing w:val="-4"/>
          <w:sz w:val="24"/>
          <w:szCs w:val="28"/>
          <w:lang w:val="en-US" w:eastAsia="zh-CN"/>
        </w:rPr>
        <w:t>3</w:t>
      </w:r>
      <w:r>
        <w:rPr>
          <w:rFonts w:hint="eastAsia" w:ascii="宋体" w:hAnsi="宋体" w:eastAsia="宋体" w:cs="微软雅黑"/>
          <w:color w:val="000000"/>
          <w:spacing w:val="-4"/>
          <w:sz w:val="24"/>
          <w:szCs w:val="28"/>
        </w:rPr>
        <w:t>年1月-12月</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报告的发布周期：年度发布</w:t>
      </w:r>
    </w:p>
    <w:p>
      <w:pPr>
        <w:spacing w:line="360" w:lineRule="auto"/>
        <w:ind w:firstLine="466" w:firstLineChars="200"/>
        <w:jc w:val="left"/>
        <w:outlineLvl w:val="2"/>
        <w:rPr>
          <w:rFonts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（二）报告内容客观性说明</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本报告基于综合汇总、整理公司自成立以来的质量诚信工作相关数据，且数据、信息全部真实、可信，本公司对报告内容的客观性负责并主动接受社会监督，特此声明。</w:t>
      </w:r>
    </w:p>
    <w:p>
      <w:pPr>
        <w:spacing w:before="156" w:beforeLines="50" w:line="360" w:lineRule="auto"/>
        <w:outlineLvl w:val="1"/>
        <w:rPr>
          <w:rFonts w:ascii="宋体" w:hAnsi="宋体" w:eastAsia="宋体" w:cs="楷体"/>
          <w:b/>
          <w:color w:val="000000"/>
          <w:sz w:val="28"/>
          <w:szCs w:val="32"/>
        </w:rPr>
      </w:pPr>
      <w:bookmarkStart w:id="3" w:name="_Toc11669255"/>
      <w:bookmarkStart w:id="4" w:name="_Toc48809462"/>
      <w:r>
        <w:rPr>
          <w:rFonts w:hint="eastAsia" w:ascii="宋体" w:hAnsi="宋体" w:eastAsia="宋体" w:cs="楷体"/>
          <w:b/>
          <w:color w:val="000000"/>
          <w:sz w:val="28"/>
          <w:szCs w:val="32"/>
        </w:rPr>
        <w:t>二、致辞</w:t>
      </w:r>
      <w:bookmarkEnd w:id="3"/>
      <w:bookmarkEnd w:id="4"/>
    </w:p>
    <w:p>
      <w:pPr>
        <w:spacing w:line="360" w:lineRule="auto"/>
        <w:ind w:firstLine="464" w:firstLineChars="200"/>
        <w:jc w:val="left"/>
        <w:rPr>
          <w:rFonts w:ascii="宋体" w:hAnsi="宋体" w:eastAsia="宋体" w:cs="微软雅黑"/>
          <w:color w:val="000000"/>
          <w:spacing w:val="-4"/>
          <w:sz w:val="24"/>
          <w:szCs w:val="28"/>
        </w:rPr>
      </w:pPr>
      <w:bookmarkStart w:id="5" w:name="_Toc11669257"/>
      <w:bookmarkStart w:id="6" w:name="_Toc451594565"/>
      <w:r>
        <w:rPr>
          <w:rFonts w:hint="eastAsia" w:ascii="宋体" w:hAnsi="宋体" w:eastAsia="宋体" w:cs="微软雅黑"/>
          <w:color w:val="000000"/>
          <w:spacing w:val="-4"/>
          <w:sz w:val="24"/>
          <w:szCs w:val="28"/>
        </w:rPr>
        <w:t>杭州川禾机械有限公司是一个具有高度社会责任感的公司，在生产经营中尤其注重产品的质量，并始终致力于成为社会所期待的存在以及员工引以为豪的企业。</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我们知道在当代社会中，竞争是激烈的。一个企业在多变的市场条件下，品牌是企业持续成长和贏得顾客忠诚的关键，然而无论多么知名的品牌都需要一流的质量做后盾。无论广告多么有吸引力，包装多么华丽，没有质量保证，都是徒有其表。唯有质量做好了，企业才会为大众所认可。否则，企业寿命也会因此减短。</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川禾机械的发展离不开公司全体员工的不懈努力奋斗，离不开国家以及社会各界的关注和支持，更离不开所有客户的厚爱和信赖。为此，我们将一如既往，求实创新。在提供优质产品的同时，不断提升自身实力，成为一家兼具市场竞争力和社会责任感的优秀企业。</w:t>
      </w:r>
    </w:p>
    <w:p>
      <w:pPr>
        <w:spacing w:before="156" w:beforeLines="50" w:line="360" w:lineRule="auto"/>
        <w:outlineLvl w:val="1"/>
        <w:rPr>
          <w:rFonts w:ascii="宋体" w:hAnsi="宋体" w:eastAsia="宋体" w:cs="楷体"/>
          <w:b/>
          <w:color w:val="000000"/>
          <w:sz w:val="28"/>
          <w:szCs w:val="36"/>
        </w:rPr>
      </w:pPr>
      <w:bookmarkStart w:id="7" w:name="_Toc48809463"/>
      <w:r>
        <w:rPr>
          <w:rFonts w:hint="eastAsia" w:ascii="宋体" w:hAnsi="宋体" w:eastAsia="宋体" w:cs="楷体"/>
          <w:b/>
          <w:color w:val="000000"/>
          <w:sz w:val="28"/>
          <w:szCs w:val="36"/>
        </w:rPr>
        <w:t>三、公司简介</w:t>
      </w:r>
      <w:bookmarkEnd w:id="5"/>
      <w:bookmarkEnd w:id="6"/>
      <w:bookmarkEnd w:id="7"/>
    </w:p>
    <w:p>
      <w:pPr>
        <w:widowControl/>
        <w:spacing w:line="360" w:lineRule="auto"/>
        <w:ind w:firstLine="464" w:firstLineChars="200"/>
        <w:jc w:val="left"/>
        <w:rPr>
          <w:rFonts w:ascii="宋体" w:hAnsi="宋体" w:eastAsia="宋体" w:cs="微软雅黑"/>
          <w:color w:val="000000"/>
          <w:spacing w:val="-4"/>
          <w:sz w:val="24"/>
          <w:szCs w:val="28"/>
        </w:rPr>
      </w:pPr>
      <w:bookmarkStart w:id="8" w:name="_Toc48809464"/>
      <w:r>
        <w:rPr>
          <w:rFonts w:hint="eastAsia" w:ascii="宋体" w:hAnsi="宋体" w:eastAsia="宋体" w:cs="微软雅黑"/>
          <w:color w:val="000000"/>
          <w:spacing w:val="-4"/>
          <w:sz w:val="24"/>
          <w:szCs w:val="28"/>
        </w:rPr>
        <w:t>杭州川禾机械有限公司，成立于2009年，位于萧山区红山农场萧清大道4518号5幢，是一家集研发、制造、销售高端数控机床、柔性生产加工线、数控精密磨床和装配线的企业，公司设有台湾和国内两个研发场所，通过不断引进国内外精益的技术以及与西交大、浙大等高校合作输送优质人才，为客户提供智能化制造及数字化工厂的解决方案。公司具有大量工程经验和与国内外高端数控机床同步的设计制造技术，并被评为国家高新技术企业、中小科技型企业、最具成长型企业。</w:t>
      </w:r>
    </w:p>
    <w:p>
      <w:pPr>
        <w:widowControl/>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公司一直贯彻“品质、服务、创新”的经营理念，牢牢以“为客户提供有价值的产品”为导向，为客户提供售前、售中、售后的交钥匙工程。</w:t>
      </w:r>
    </w:p>
    <w:p>
      <w:pPr>
        <w:widowControl/>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所有产品的研发、设计、制造、售后服务环节严格执行ISO9001:2015质量管理体系，制造过程的各个环节都有品管介入确保产品的稳定性。公司以整洁的工厂、专业的管理、严谨的态度、全面的服务，为员工提供了一个好的工作环境，为客户提供优良的产品。川禾人以饱满的精神来迎接每一个挑战。</w:t>
      </w:r>
    </w:p>
    <w:p>
      <w:pPr>
        <w:widowControl/>
        <w:jc w:val="left"/>
        <w:rPr>
          <w:rFonts w:ascii="黑体" w:hAnsi="黑体" w:eastAsia="黑体" w:cs="宋体"/>
          <w:color w:val="000000"/>
          <w:spacing w:val="-4"/>
          <w:sz w:val="32"/>
          <w:szCs w:val="28"/>
        </w:rPr>
      </w:pPr>
      <w:r>
        <w:rPr>
          <w:rFonts w:ascii="黑体" w:hAnsi="黑体" w:eastAsia="黑体" w:cs="宋体"/>
          <w:color w:val="000000"/>
          <w:spacing w:val="-4"/>
          <w:sz w:val="32"/>
          <w:szCs w:val="28"/>
        </w:rPr>
        <w:br w:type="page"/>
      </w:r>
    </w:p>
    <w:p>
      <w:pPr>
        <w:spacing w:before="312" w:beforeLines="100" w:after="312" w:afterLines="100" w:line="360" w:lineRule="auto"/>
        <w:jc w:val="center"/>
        <w:outlineLvl w:val="0"/>
        <w:rPr>
          <w:rFonts w:ascii="黑体" w:hAnsi="黑体" w:eastAsia="黑体" w:cs="宋体"/>
          <w:color w:val="000000"/>
          <w:spacing w:val="-4"/>
          <w:sz w:val="32"/>
          <w:szCs w:val="28"/>
        </w:rPr>
      </w:pPr>
      <w:r>
        <w:rPr>
          <w:rFonts w:hint="eastAsia" w:ascii="黑体" w:hAnsi="黑体" w:eastAsia="黑体" w:cs="宋体"/>
          <w:color w:val="000000"/>
          <w:spacing w:val="-4"/>
          <w:sz w:val="32"/>
          <w:szCs w:val="28"/>
        </w:rPr>
        <w:t>第二部分 报告正文</w:t>
      </w:r>
      <w:bookmarkEnd w:id="8"/>
    </w:p>
    <w:p>
      <w:pPr>
        <w:spacing w:line="360" w:lineRule="auto"/>
        <w:outlineLvl w:val="1"/>
        <w:rPr>
          <w:rFonts w:ascii="宋体" w:hAnsi="宋体" w:eastAsia="宋体" w:cs="微软雅黑"/>
          <w:b/>
          <w:color w:val="000000"/>
          <w:spacing w:val="-4"/>
          <w:sz w:val="28"/>
          <w:szCs w:val="28"/>
        </w:rPr>
      </w:pPr>
      <w:bookmarkStart w:id="9" w:name="_Toc48809465"/>
      <w:r>
        <w:rPr>
          <w:rFonts w:hint="eastAsia" w:ascii="宋体" w:hAnsi="宋体" w:eastAsia="宋体" w:cs="微软雅黑"/>
          <w:b/>
          <w:color w:val="000000"/>
          <w:spacing w:val="-4"/>
          <w:sz w:val="28"/>
          <w:szCs w:val="28"/>
        </w:rPr>
        <w:t>一、企业质量理念</w:t>
      </w:r>
      <w:bookmarkEnd w:id="9"/>
    </w:p>
    <w:p>
      <w:pPr>
        <w:spacing w:line="360" w:lineRule="auto"/>
        <w:ind w:firstLine="464" w:firstLineChars="200"/>
        <w:rPr>
          <w:rFonts w:ascii="宋体" w:hAnsi="宋体" w:eastAsia="宋体" w:cs="微软雅黑"/>
          <w:color w:val="000000"/>
          <w:spacing w:val="-4"/>
          <w:sz w:val="24"/>
          <w:szCs w:val="28"/>
        </w:rPr>
      </w:pPr>
      <w:bookmarkStart w:id="10" w:name="_Toc451594567"/>
      <w:bookmarkStart w:id="11" w:name="_Toc11669259"/>
      <w:r>
        <w:rPr>
          <w:rFonts w:hint="eastAsia" w:ascii="宋体" w:hAnsi="宋体" w:eastAsia="宋体" w:cs="微软雅黑"/>
          <w:color w:val="000000"/>
          <w:spacing w:val="-4"/>
          <w:sz w:val="24"/>
          <w:szCs w:val="28"/>
        </w:rPr>
        <w:t>质量方针：质量第一，顾客至上，全员参与，追求卓越，持续改进，增强顾客满意；</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环境方针：贯彻生态理念，依法保护环境；</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职业健康安全方针：坚持以人为本，关爱员工健康；</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质量诚信方针：坚持诚实、透明和道德的行为准则，建立诚信和可信赖的声誉。保护客户利益，遵守合同承诺和服务承诺。</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产品需求：持续向顾客提供质量可靠、价格合理的商品，以满足顾客的需求和期望。</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服务需求：向顾客提供优质高效服务，确保公司业务各环节的生产经营管理活动得以有效的控制，遵守法律法规要求，保护环境，保障员工身心健康,并持续改进，使顾客的需求得到最大限度的满足。</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将质量作为企业生存和发展的根本，以过程质量控制为重点，以顾客满意为宗旨，将质量管理理念融入企业整个生产经营中，质量意识深入每一位员工心中并落实到具体的工作中。</w:t>
      </w:r>
    </w:p>
    <w:p>
      <w:pPr>
        <w:spacing w:line="360" w:lineRule="auto"/>
        <w:ind w:firstLine="464" w:firstLineChars="200"/>
        <w:rPr>
          <w:rFonts w:ascii="宋体" w:hAnsi="宋体" w:eastAsia="宋体" w:cs="微软雅黑"/>
          <w:color w:val="000000"/>
          <w:spacing w:val="-4"/>
          <w:sz w:val="24"/>
          <w:szCs w:val="28"/>
        </w:rPr>
      </w:pPr>
    </w:p>
    <w:bookmarkEnd w:id="10"/>
    <w:bookmarkEnd w:id="11"/>
    <w:p>
      <w:pPr>
        <w:spacing w:line="360" w:lineRule="auto"/>
        <w:outlineLvl w:val="1"/>
        <w:rPr>
          <w:rFonts w:ascii="宋体" w:hAnsi="宋体" w:eastAsia="宋体" w:cs="楷体"/>
          <w:b/>
          <w:color w:val="000000"/>
          <w:sz w:val="28"/>
          <w:szCs w:val="32"/>
        </w:rPr>
      </w:pPr>
      <w:bookmarkStart w:id="12" w:name="_Toc48809466"/>
      <w:r>
        <w:rPr>
          <w:rFonts w:ascii="宋体" w:hAnsi="宋体" w:eastAsia="宋体" w:cs="楷体"/>
          <w:b/>
          <w:color w:val="000000"/>
          <w:sz w:val="28"/>
          <w:szCs w:val="32"/>
        </w:rPr>
        <w:t>二、企业质量管理</w:t>
      </w:r>
      <w:bookmarkEnd w:id="12"/>
    </w:p>
    <w:p>
      <w:pPr>
        <w:spacing w:line="360" w:lineRule="auto"/>
        <w:ind w:firstLine="482" w:firstLineChars="200"/>
        <w:outlineLvl w:val="2"/>
        <w:rPr>
          <w:rFonts w:ascii="宋体" w:hAnsi="宋体" w:eastAsia="宋体" w:cs="楷体"/>
          <w:b/>
          <w:color w:val="000000"/>
          <w:sz w:val="24"/>
          <w:szCs w:val="32"/>
        </w:rPr>
      </w:pPr>
      <w:bookmarkStart w:id="13" w:name="_Toc48809467"/>
      <w:r>
        <w:rPr>
          <w:rFonts w:hint="eastAsia" w:ascii="宋体" w:hAnsi="宋体" w:eastAsia="宋体" w:cs="楷体"/>
          <w:b/>
          <w:color w:val="000000"/>
          <w:sz w:val="24"/>
          <w:szCs w:val="32"/>
        </w:rPr>
        <w:t>（一）质量管理机构</w:t>
      </w:r>
      <w:bookmarkEnd w:id="13"/>
    </w:p>
    <w:p>
      <w:pPr>
        <w:spacing w:line="360" w:lineRule="auto"/>
        <w:ind w:firstLine="480" w:firstLineChars="200"/>
        <w:rPr>
          <w:rFonts w:ascii="宋体" w:hAnsi="宋体" w:eastAsia="宋体"/>
          <w:sz w:val="24"/>
        </w:rPr>
      </w:pPr>
      <w:r>
        <w:rPr>
          <w:rFonts w:hint="eastAsia" w:ascii="宋体" w:hAnsi="宋体" w:eastAsia="宋体"/>
          <w:sz w:val="24"/>
        </w:rPr>
        <w:t>旨恒机床拥有完善的法人治理机构，总经理负责公司的日常经营。公司建立了扁平化的组织架构，设立了多个职能部门，相互间协调合作、各负其责，公司的产品质量由技术研发中心全面负责。</w:t>
      </w:r>
    </w:p>
    <w:p>
      <w:pPr>
        <w:spacing w:line="360" w:lineRule="auto"/>
        <w:jc w:val="center"/>
        <w:rPr>
          <w:rFonts w:ascii="宋体" w:hAnsi="宋体" w:eastAsia="宋体"/>
          <w:sz w:val="24"/>
        </w:rPr>
      </w:pPr>
      <w:r>
        <w:drawing>
          <wp:inline distT="0" distB="0" distL="114300" distR="114300">
            <wp:extent cx="5937250" cy="2387600"/>
            <wp:effectExtent l="0" t="0" r="635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37250" cy="2387600"/>
                    </a:xfrm>
                    <a:prstGeom prst="rect">
                      <a:avLst/>
                    </a:prstGeom>
                    <a:noFill/>
                    <a:ln>
                      <a:noFill/>
                    </a:ln>
                  </pic:spPr>
                </pic:pic>
              </a:graphicData>
            </a:graphic>
          </wp:inline>
        </w:drawing>
      </w:r>
    </w:p>
    <w:p>
      <w:pPr>
        <w:widowControl/>
        <w:spacing w:before="156" w:beforeLines="50" w:after="156" w:afterLines="50"/>
        <w:jc w:val="center"/>
        <w:rPr>
          <w:rFonts w:ascii="宋体" w:hAnsi="宋体" w:eastAsia="宋体" w:cs="宋体"/>
          <w:b/>
          <w:sz w:val="24"/>
        </w:rPr>
      </w:pPr>
      <w:r>
        <w:rPr>
          <w:rFonts w:hint="eastAsia" w:ascii="宋体" w:hAnsi="宋体" w:eastAsia="宋体" w:cs="宋体"/>
          <w:b/>
          <w:sz w:val="24"/>
        </w:rPr>
        <w:t>图1 公司组织架构图</w:t>
      </w:r>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建立健全适应本企业实际的质量管理体系，扎实有效地落实管理产品生产中的各项工作，确保产品质量管理体系有效运行，保障产品质量以及顾客的合法权益。本公司严格把控产品检测，具体规定技术研发中心的具体职责：制定公司质量管理目标及实施方案，全面负责公司产品质量考核、客户投诉管理工作，对产品所需物料的进料检验、制程检验、成品检验及出货检验负责。</w:t>
      </w:r>
    </w:p>
    <w:p>
      <w:pPr>
        <w:spacing w:line="360" w:lineRule="auto"/>
        <w:ind w:firstLine="482" w:firstLineChars="200"/>
        <w:outlineLvl w:val="2"/>
        <w:rPr>
          <w:rFonts w:ascii="宋体" w:hAnsi="宋体" w:eastAsia="宋体" w:cs="楷体"/>
          <w:b/>
          <w:color w:val="000000"/>
          <w:sz w:val="24"/>
          <w:szCs w:val="32"/>
        </w:rPr>
      </w:pPr>
      <w:bookmarkStart w:id="14" w:name="_Toc48809468"/>
      <w:r>
        <w:rPr>
          <w:rFonts w:hint="eastAsia" w:ascii="宋体" w:hAnsi="宋体" w:eastAsia="宋体" w:cs="楷体"/>
          <w:b/>
          <w:color w:val="000000"/>
          <w:sz w:val="24"/>
          <w:szCs w:val="32"/>
        </w:rPr>
        <w:t>（二）质量管理体系</w:t>
      </w:r>
      <w:bookmarkEnd w:id="14"/>
    </w:p>
    <w:p>
      <w:pPr>
        <w:spacing w:line="360" w:lineRule="auto"/>
        <w:ind w:firstLine="464" w:firstLineChars="200"/>
        <w:rPr>
          <w:rFonts w:ascii="宋体" w:hAnsi="宋体" w:eastAsia="宋体" w:cs="Times New Roman"/>
          <w:bCs/>
          <w:sz w:val="24"/>
          <w:szCs w:val="28"/>
        </w:rPr>
      </w:pPr>
      <w:r>
        <w:rPr>
          <w:rFonts w:hint="eastAsia" w:ascii="宋体" w:hAnsi="宋体" w:eastAsia="宋体" w:cs="微软雅黑"/>
          <w:color w:val="000000"/>
          <w:spacing w:val="-4"/>
          <w:sz w:val="24"/>
          <w:szCs w:val="28"/>
        </w:rPr>
        <w:t>公司高度重视产品品质，认真履行产品和服务质量安全职责。公司领导始终践行企业社会责任，为提升产品的质量安全性能，建立了一套切合企业发展，促进企业自身与客户共赢的质量安全管控体系。从“设计/研发—采购—生产—成品”，每个环节都设置了缜密的控制体系，进行严格的管控。</w:t>
      </w:r>
    </w:p>
    <w:p>
      <w:pPr>
        <w:spacing w:line="360" w:lineRule="auto"/>
        <w:ind w:firstLine="482" w:firstLineChars="200"/>
        <w:rPr>
          <w:rFonts w:ascii="宋体" w:hAnsi="宋体" w:eastAsia="宋体" w:cs="黑体"/>
          <w:b/>
          <w:color w:val="000000"/>
          <w:sz w:val="24"/>
        </w:rPr>
      </w:pPr>
      <w:r>
        <w:rPr>
          <w:rFonts w:hint="eastAsia" w:ascii="宋体" w:hAnsi="宋体" w:eastAsia="宋体" w:cs="黑体"/>
          <w:b/>
          <w:sz w:val="24"/>
        </w:rPr>
        <w:t>（1）质量目标</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公司将继续加强质量基础建设，强化管理创新和技术创新，提高总体质量水平和自主创新能力，到202</w:t>
      </w:r>
      <w:r>
        <w:rPr>
          <w:rFonts w:hint="eastAsia" w:ascii="宋体" w:hAnsi="宋体" w:eastAsia="宋体" w:cs="微软雅黑"/>
          <w:color w:val="000000"/>
          <w:spacing w:val="-4"/>
          <w:sz w:val="24"/>
          <w:lang w:val="en-US" w:eastAsia="zh-CN"/>
        </w:rPr>
        <w:t>3</w:t>
      </w:r>
      <w:r>
        <w:rPr>
          <w:rFonts w:hint="eastAsia" w:ascii="宋体" w:hAnsi="宋体" w:eastAsia="宋体" w:cs="微软雅黑"/>
          <w:color w:val="000000"/>
          <w:spacing w:val="-4"/>
          <w:sz w:val="24"/>
        </w:rPr>
        <w:t>年质量建设要取得显著成效。</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以“质量第一，顾客至上，全员参与，追求卓越，持续改进，增强顾客满意；贯彻生态理念，依法保护环境；坚持以人为本，关爱员工健康”为管理方针，按“方针”精神，公司要求在</w:t>
      </w:r>
      <w:r>
        <w:rPr>
          <w:rFonts w:ascii="宋体" w:hAnsi="宋体" w:eastAsia="宋体" w:cs="微软雅黑"/>
          <w:color w:val="000000"/>
          <w:spacing w:val="-4"/>
          <w:sz w:val="24"/>
        </w:rPr>
        <w:t>年</w:t>
      </w:r>
      <w:r>
        <w:rPr>
          <w:rFonts w:hint="eastAsia" w:ascii="宋体" w:hAnsi="宋体" w:eastAsia="宋体" w:cs="微软雅黑"/>
          <w:color w:val="000000"/>
          <w:spacing w:val="-4"/>
          <w:sz w:val="24"/>
        </w:rPr>
        <w:t>度管理</w:t>
      </w:r>
      <w:r>
        <w:rPr>
          <w:rFonts w:ascii="宋体" w:hAnsi="宋体" w:eastAsia="宋体" w:cs="微软雅黑"/>
          <w:color w:val="000000"/>
          <w:spacing w:val="-4"/>
          <w:sz w:val="24"/>
        </w:rPr>
        <w:t>总目标达标</w:t>
      </w:r>
      <w:r>
        <w:rPr>
          <w:rFonts w:hint="eastAsia" w:ascii="宋体" w:hAnsi="宋体" w:eastAsia="宋体" w:cs="微软雅黑"/>
          <w:color w:val="000000"/>
          <w:spacing w:val="-4"/>
          <w:sz w:val="24"/>
        </w:rPr>
        <w:t>。</w:t>
      </w:r>
    </w:p>
    <w:p>
      <w:pPr>
        <w:spacing w:line="360" w:lineRule="auto"/>
        <w:ind w:firstLine="464" w:firstLineChars="200"/>
        <w:rPr>
          <w:rFonts w:ascii="宋体" w:hAnsi="宋体" w:eastAsia="宋体" w:cs="微软雅黑"/>
          <w:color w:val="000000"/>
          <w:spacing w:val="-4"/>
          <w:sz w:val="24"/>
        </w:rPr>
      </w:pPr>
      <w:r>
        <w:rPr>
          <w:rFonts w:hint="eastAsia" w:ascii="宋体" w:hAnsi="宋体" w:eastAsia="宋体" w:cs="微软雅黑"/>
          <w:color w:val="000000"/>
          <w:spacing w:val="-4"/>
          <w:sz w:val="24"/>
        </w:rPr>
        <w:t>公司要求，品质总体目标每年有所改善和品质提升</w:t>
      </w:r>
      <w:r>
        <w:rPr>
          <w:rFonts w:ascii="宋体" w:hAnsi="宋体" w:eastAsia="宋体" w:cs="微软雅黑"/>
          <w:color w:val="000000"/>
          <w:spacing w:val="-4"/>
          <w:sz w:val="24"/>
        </w:rPr>
        <w:t>。</w:t>
      </w:r>
      <w:r>
        <w:rPr>
          <w:rFonts w:hint="eastAsia" w:ascii="宋体" w:hAnsi="宋体" w:eastAsia="宋体" w:cs="微软雅黑"/>
          <w:color w:val="000000"/>
          <w:spacing w:val="-4"/>
          <w:sz w:val="24"/>
        </w:rPr>
        <w:t>公司</w:t>
      </w:r>
      <w:r>
        <w:rPr>
          <w:rFonts w:ascii="宋体" w:hAnsi="宋体" w:eastAsia="宋体" w:cs="微软雅黑"/>
          <w:color w:val="000000"/>
          <w:spacing w:val="-4"/>
          <w:sz w:val="24"/>
        </w:rPr>
        <w:t>授权</w:t>
      </w:r>
      <w:r>
        <w:rPr>
          <w:rFonts w:hint="eastAsia" w:ascii="宋体" w:hAnsi="宋体" w:eastAsia="宋体" w:cs="微软雅黑"/>
          <w:color w:val="000000"/>
          <w:spacing w:val="-4"/>
          <w:sz w:val="24"/>
        </w:rPr>
        <w:t>质保</w:t>
      </w:r>
      <w:r>
        <w:rPr>
          <w:rFonts w:ascii="宋体" w:hAnsi="宋体" w:eastAsia="宋体" w:cs="微软雅黑"/>
          <w:color w:val="000000"/>
          <w:spacing w:val="-4"/>
          <w:sz w:val="24"/>
        </w:rPr>
        <w:t>部对</w:t>
      </w:r>
      <w:r>
        <w:rPr>
          <w:rFonts w:hint="eastAsia" w:ascii="宋体" w:hAnsi="宋体" w:eastAsia="宋体" w:cs="微软雅黑"/>
          <w:color w:val="000000"/>
          <w:spacing w:val="-4"/>
          <w:sz w:val="24"/>
        </w:rPr>
        <w:t>质量</w:t>
      </w:r>
      <w:r>
        <w:rPr>
          <w:rFonts w:ascii="宋体" w:hAnsi="宋体" w:eastAsia="宋体" w:cs="微软雅黑"/>
          <w:color w:val="000000"/>
          <w:spacing w:val="-4"/>
          <w:sz w:val="24"/>
        </w:rPr>
        <w:t>目标的执行和达成情况进行督查、统计、分析</w:t>
      </w:r>
      <w:r>
        <w:rPr>
          <w:rFonts w:hint="eastAsia" w:ascii="宋体" w:hAnsi="宋体" w:eastAsia="宋体" w:cs="微软雅黑"/>
          <w:color w:val="000000"/>
          <w:spacing w:val="-4"/>
          <w:sz w:val="24"/>
        </w:rPr>
        <w:t>；分析、统计结果报管理者代表与最高管理者。</w:t>
      </w:r>
    </w:p>
    <w:p>
      <w:pPr>
        <w:spacing w:line="360" w:lineRule="auto"/>
        <w:ind w:firstLine="482" w:firstLineChars="200"/>
        <w:rPr>
          <w:rFonts w:ascii="宋体" w:hAnsi="宋体" w:eastAsia="宋体" w:cs="黑体"/>
          <w:bCs/>
          <w:sz w:val="24"/>
        </w:rPr>
      </w:pPr>
      <w:r>
        <w:rPr>
          <w:rFonts w:hint="eastAsia" w:ascii="宋体" w:hAnsi="宋体" w:eastAsia="宋体" w:cs="黑体"/>
          <w:b/>
          <w:sz w:val="24"/>
        </w:rPr>
        <w:t>（2）质量教育</w:t>
      </w:r>
    </w:p>
    <w:p>
      <w:pPr>
        <w:autoSpaceDE w:val="0"/>
        <w:autoSpaceDN w:val="0"/>
        <w:adjustRightInd w:val="0"/>
        <w:spacing w:line="360" w:lineRule="auto"/>
        <w:ind w:firstLine="464" w:firstLineChars="200"/>
        <w:jc w:val="left"/>
        <w:rPr>
          <w:rFonts w:ascii="宋体" w:hAnsi="宋体" w:eastAsia="宋体" w:cs="微软雅黑"/>
          <w:color w:val="000000"/>
          <w:spacing w:val="-4"/>
          <w:sz w:val="24"/>
        </w:rPr>
      </w:pPr>
      <w:r>
        <w:rPr>
          <w:rFonts w:hint="eastAsia" w:ascii="宋体" w:hAnsi="宋体" w:eastAsia="宋体" w:cs="微软雅黑"/>
          <w:color w:val="000000"/>
          <w:spacing w:val="-4"/>
          <w:sz w:val="24"/>
        </w:rPr>
        <w:t>为实现公司持续经营，有效落实组织员工的质量教育，公司制定了质量教育培训管理制度，并每年制定并执行培训计划，塑造企业讲诚信的道德环境。公司培训管理流程如图2所示。</w:t>
      </w:r>
    </w:p>
    <w:p>
      <w:pPr>
        <w:adjustRightInd w:val="0"/>
        <w:snapToGrid w:val="0"/>
        <w:spacing w:line="360" w:lineRule="auto"/>
        <w:jc w:val="center"/>
        <w:rPr>
          <w:rFonts w:ascii="宋体" w:hAnsi="宋体" w:eastAsia="宋体"/>
          <w:bCs/>
          <w:color w:val="000000"/>
          <w:kern w:val="21"/>
          <w:szCs w:val="21"/>
        </w:rPr>
      </w:pPr>
      <w:r>
        <w:rPr>
          <w:rFonts w:ascii="宋体" w:hAnsi="宋体" w:eastAsia="宋体"/>
          <w:sz w:val="24"/>
        </w:rPr>
        <w:object>
          <v:shape id="_x0000_i1025" o:spt="75" type="#_x0000_t75" style="height:210.55pt;width:427.9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spacing w:line="360" w:lineRule="auto"/>
        <w:jc w:val="center"/>
        <w:rPr>
          <w:rFonts w:ascii="宋体" w:hAnsi="宋体" w:eastAsia="宋体" w:cstheme="minorEastAsia"/>
          <w:b/>
          <w:bCs/>
          <w:sz w:val="24"/>
          <w:szCs w:val="32"/>
        </w:rPr>
      </w:pPr>
      <w:r>
        <w:rPr>
          <w:rFonts w:hint="eastAsia" w:ascii="宋体" w:hAnsi="宋体" w:eastAsia="宋体" w:cstheme="minorEastAsia"/>
          <w:b/>
          <w:bCs/>
          <w:sz w:val="24"/>
          <w:szCs w:val="32"/>
        </w:rPr>
        <w:t>图2 川禾机械培训管理体系</w:t>
      </w:r>
    </w:p>
    <w:p>
      <w:pPr>
        <w:spacing w:line="360" w:lineRule="auto"/>
        <w:ind w:firstLine="482" w:firstLineChars="200"/>
        <w:outlineLvl w:val="2"/>
        <w:rPr>
          <w:rFonts w:ascii="宋体" w:hAnsi="宋体" w:eastAsia="宋体" w:cs="楷体"/>
          <w:b/>
          <w:color w:val="000000"/>
          <w:sz w:val="24"/>
          <w:szCs w:val="32"/>
        </w:rPr>
      </w:pPr>
      <w:bookmarkStart w:id="15" w:name="_Toc48809469"/>
      <w:r>
        <w:rPr>
          <w:rFonts w:hint="eastAsia" w:ascii="宋体" w:hAnsi="宋体" w:eastAsia="宋体" w:cs="楷体"/>
          <w:b/>
          <w:color w:val="000000"/>
          <w:sz w:val="24"/>
          <w:szCs w:val="32"/>
        </w:rPr>
        <w:t>（三）质量安全风险管理</w:t>
      </w:r>
      <w:bookmarkEnd w:id="15"/>
    </w:p>
    <w:p>
      <w:pPr>
        <w:spacing w:line="360" w:lineRule="auto"/>
        <w:ind w:firstLine="480" w:firstLineChars="200"/>
        <w:rPr>
          <w:rFonts w:ascii="宋体" w:hAnsi="宋体" w:eastAsia="宋体"/>
          <w:sz w:val="24"/>
        </w:rPr>
      </w:pPr>
      <w:bookmarkStart w:id="16" w:name="_Toc48809470"/>
      <w:r>
        <w:rPr>
          <w:rFonts w:hint="eastAsia" w:ascii="宋体" w:hAnsi="宋体" w:eastAsia="宋体"/>
          <w:sz w:val="24"/>
        </w:rPr>
        <w:t>公司重视质量风险管理工作，每年动态修订更新内控制度，组织内控综合检查。为了确保产品的正常使用和对于重大质量安全事故的监测和风险评估，成立了以总经理为核心的战略领导和统筹机构，快速有效地应对各种风险。</w:t>
      </w:r>
    </w:p>
    <w:p>
      <w:pPr>
        <w:spacing w:line="360" w:lineRule="auto"/>
        <w:ind w:firstLine="480" w:firstLineChars="200"/>
        <w:rPr>
          <w:rFonts w:ascii="宋体" w:hAnsi="宋体" w:eastAsia="宋体"/>
          <w:sz w:val="24"/>
        </w:rPr>
      </w:pPr>
      <w:r>
        <w:rPr>
          <w:rFonts w:hint="eastAsia" w:ascii="宋体" w:hAnsi="宋体" w:eastAsia="宋体"/>
          <w:sz w:val="24"/>
        </w:rPr>
        <w:t>公司在客服体系中建立完善的危机性质量安全事故的跟踪和处理机制，并成立专门的重大事故处理小组负责质量安全事故的全程跟进和处理，并时刻识别产品在策划、设计、制造、运输、安装和使用等过程中的质量安全风险点，从根本上杜绝质量安全风险的发生。上述各项风险的处理和管控有专门的制度保证、专职的部门和领导负责、有标准的操作流程，迅速高效，把控有力。</w:t>
      </w:r>
    </w:p>
    <w:p>
      <w:pPr>
        <w:spacing w:line="360" w:lineRule="auto"/>
        <w:ind w:firstLine="480" w:firstLineChars="200"/>
        <w:rPr>
          <w:rFonts w:ascii="宋体" w:hAnsi="宋体" w:eastAsia="宋体"/>
          <w:sz w:val="24"/>
        </w:rPr>
      </w:pPr>
      <w:r>
        <w:rPr>
          <w:rFonts w:hint="eastAsia" w:ascii="宋体" w:hAnsi="宋体" w:eastAsia="宋体"/>
          <w:sz w:val="24"/>
        </w:rPr>
        <w:t>公司自成立至今，未出现过大风险和危机事件，在行内享有盛誉。</w:t>
      </w:r>
    </w:p>
    <w:p>
      <w:pPr>
        <w:spacing w:line="360" w:lineRule="auto"/>
        <w:ind w:firstLine="480" w:firstLineChars="200"/>
        <w:rPr>
          <w:rFonts w:ascii="宋体" w:hAnsi="宋体" w:eastAsia="宋体"/>
          <w:sz w:val="24"/>
        </w:rPr>
      </w:pPr>
      <w:r>
        <w:rPr>
          <w:rFonts w:hint="eastAsia" w:ascii="宋体" w:hAnsi="宋体" w:eastAsia="宋体"/>
          <w:sz w:val="24"/>
        </w:rPr>
        <w:t>在产品检测方面，对产品质量进行严格把控。在整个流程中，根据自身产品特点制定《采购及相关方施加影响控制程序》、《生产和服务提供控制程序》、《不合格输出控制程序》、《改进控制程序》等程序文件，在采购物资、产品和服务的提供过程以及最终检查进行验证活动，确保只有满足要求的产品和服务才能够放行交付给顾客。技术研发中心保留有关产品和服务放行的成文信息，包括检验或验收记录以及授权放行人员的可追溯性信息。</w:t>
      </w:r>
    </w:p>
    <w:p>
      <w:pPr>
        <w:spacing w:line="360" w:lineRule="auto"/>
        <w:ind w:firstLine="480" w:firstLineChars="200"/>
        <w:rPr>
          <w:rFonts w:ascii="宋体" w:hAnsi="宋体" w:eastAsia="宋体"/>
          <w:sz w:val="24"/>
        </w:rPr>
      </w:pPr>
      <w:r>
        <w:rPr>
          <w:rFonts w:hint="eastAsia" w:ascii="宋体" w:hAnsi="宋体" w:eastAsia="宋体"/>
          <w:sz w:val="24"/>
        </w:rPr>
        <w:t>公司一方面制定了严格的产品检验放行制度，严格把控不合格产品的流出；另一方面公司制定了《销售应急预案》等制度，针对潜在的质量失信事件或紧急、突发事件能做出及时响应。</w:t>
      </w:r>
    </w:p>
    <w:p>
      <w:pPr>
        <w:spacing w:before="156" w:beforeLines="50" w:line="360" w:lineRule="auto"/>
        <w:outlineLvl w:val="1"/>
        <w:rPr>
          <w:rFonts w:ascii="宋体" w:hAnsi="宋体" w:eastAsia="宋体" w:cs="楷体"/>
          <w:b/>
          <w:color w:val="000000"/>
          <w:sz w:val="28"/>
          <w:szCs w:val="36"/>
        </w:rPr>
      </w:pPr>
      <w:r>
        <w:rPr>
          <w:rFonts w:hint="eastAsia" w:ascii="宋体" w:hAnsi="宋体" w:eastAsia="宋体" w:cs="楷体"/>
          <w:b/>
          <w:color w:val="000000"/>
          <w:sz w:val="28"/>
          <w:szCs w:val="36"/>
        </w:rPr>
        <w:t>三、企业质量诚信</w:t>
      </w:r>
      <w:bookmarkEnd w:id="16"/>
    </w:p>
    <w:p>
      <w:pPr>
        <w:spacing w:line="360" w:lineRule="auto"/>
        <w:ind w:firstLine="482" w:firstLineChars="200"/>
        <w:outlineLvl w:val="2"/>
        <w:rPr>
          <w:rFonts w:ascii="宋体" w:hAnsi="宋体" w:eastAsia="宋体" w:cs="楷体"/>
          <w:b/>
          <w:color w:val="000000"/>
          <w:sz w:val="24"/>
          <w:szCs w:val="32"/>
        </w:rPr>
      </w:pPr>
      <w:bookmarkStart w:id="17" w:name="_Toc48809471"/>
      <w:r>
        <w:rPr>
          <w:rFonts w:hint="eastAsia" w:ascii="宋体" w:hAnsi="宋体" w:eastAsia="宋体" w:cs="楷体"/>
          <w:b/>
          <w:color w:val="000000"/>
          <w:sz w:val="24"/>
          <w:szCs w:val="32"/>
        </w:rPr>
        <w:t>（一）质量诚信管理</w:t>
      </w:r>
      <w:bookmarkEnd w:id="17"/>
    </w:p>
    <w:p>
      <w:pPr>
        <w:spacing w:line="360" w:lineRule="auto"/>
        <w:ind w:firstLine="466" w:firstLineChars="200"/>
        <w:jc w:val="left"/>
        <w:rPr>
          <w:rFonts w:ascii="宋体" w:hAnsi="宋体" w:eastAsia="宋体" w:cs="微软雅黑"/>
          <w:color w:val="000000"/>
          <w:spacing w:val="-4"/>
          <w:sz w:val="24"/>
          <w:szCs w:val="28"/>
        </w:rPr>
      </w:pPr>
      <w:r>
        <w:rPr>
          <w:rFonts w:hint="eastAsia" w:ascii="宋体" w:hAnsi="宋体" w:eastAsia="宋体" w:cs="微软雅黑"/>
          <w:b/>
          <w:bCs/>
          <w:color w:val="000000"/>
          <w:spacing w:val="-4"/>
          <w:sz w:val="24"/>
          <w:szCs w:val="28"/>
        </w:rPr>
        <w:t>质量诚信方针：</w:t>
      </w:r>
      <w:r>
        <w:rPr>
          <w:rFonts w:hint="eastAsia" w:ascii="宋体" w:hAnsi="宋体" w:eastAsia="宋体" w:cs="微软雅黑"/>
          <w:color w:val="000000"/>
          <w:spacing w:val="-4"/>
          <w:sz w:val="24"/>
          <w:szCs w:val="28"/>
        </w:rPr>
        <w:t>坚持诚实、透明和道德的行为准则，建立诚信和可信赖的声誉。保护客户利益，遵守合同承诺和服务承诺。</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长期以来，公司的高层领导从企业的核心价值观出发，在实施企业文化建设的过程中十分重视企业道德文化的培育，努力营造以企业高层领导身体力行、全体员工积极参与的崇尚道德修养的良好氛围。公司依据《公司法》、《会计法》、《劳动法》等国家的法律法规，建立健全公司质量管理体系；公司高层管理者从严管理，以身作则，作为遵纪守法的示范者和标杆，在经营活动中坚持依法经营，从公司成立以来，公司高层管理者没有一位违法违规。</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公司实施依法纳税，依法缴费，财务制度健全，账目规范，每年委托税务局和审计局开展汇算清缴和审计，积极配合国税、地税进行税务稽查，遵守市场规则，信贷记录良好。</w:t>
      </w:r>
    </w:p>
    <w:p>
      <w:pPr>
        <w:spacing w:before="156" w:beforeLines="50" w:line="360" w:lineRule="auto"/>
        <w:ind w:firstLine="482" w:firstLineChars="200"/>
        <w:outlineLvl w:val="2"/>
        <w:rPr>
          <w:rFonts w:ascii="宋体" w:hAnsi="宋体" w:eastAsia="宋体" w:cs="楷体"/>
          <w:b/>
          <w:color w:val="000000"/>
          <w:sz w:val="24"/>
          <w:szCs w:val="36"/>
        </w:rPr>
      </w:pPr>
      <w:bookmarkStart w:id="18" w:name="_Toc48809473"/>
      <w:r>
        <w:rPr>
          <w:rFonts w:hint="eastAsia" w:ascii="宋体" w:hAnsi="宋体" w:eastAsia="宋体" w:cs="楷体"/>
          <w:b/>
          <w:color w:val="000000"/>
          <w:sz w:val="24"/>
          <w:szCs w:val="36"/>
        </w:rPr>
        <w:t>（二） 运作管理</w:t>
      </w:r>
      <w:bookmarkEnd w:id="18"/>
    </w:p>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（1）对员工的诚信教育</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在开展项目和签订合同时施行法律顾问及领导把关的风险控制联动机制，努力从源头上防范和控制法律风险，同时公司建有会议室、宣传栏，通过学习《安全生产法》、《工会法》等与企业和员工息息相关的法律法规，极大地提高了广大干部和员工对于法律法规的认知，增强了企业经营管理人员的诚信经营和市场规则意识，在工作和生活中知法、守法已成为广大员工的自觉行为规范。</w:t>
      </w:r>
    </w:p>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（2）产品设计诚信管理</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根据研发过程高投入、快速、创新的要求，为实现公司设定的新产品预计年销售额、新产品研发数量、研发样本一次交付合格率等绩效指标，旨恒机床设立了技术研发中心，统筹公司的产品研发。技术研发中心运用PM（项目管理）、PDCA等方法，注重工艺技术和市场信息的应用，对研发过程系统的设计、管理和改进，按研发过程的不同阶段、节点进行所需要的评审和确认，并设立指标进行测量和控制，持续改进。在技术中长期发展规划和年度计划中，明确“重大研发立项”、“申报专利技术”和“开发新产品”的量化目标，并通过监督考核的方式以确保技术转化成果的成功率。在技术研发项目实施过程中，积极采用项目管理和PDCA管理等管理模式，确保技术转化成果的成功率。</w:t>
      </w:r>
    </w:p>
    <w:p>
      <w:pPr>
        <w:autoSpaceDE w:val="0"/>
        <w:autoSpaceDN w:val="0"/>
        <w:adjustRightInd w:val="0"/>
        <w:spacing w:line="360" w:lineRule="auto"/>
        <w:jc w:val="center"/>
        <w:rPr>
          <w:rFonts w:ascii="宋体" w:hAnsi="宋体" w:eastAsia="宋体" w:cs="宋体"/>
          <w:b/>
          <w:bCs/>
          <w:sz w:val="24"/>
        </w:rPr>
      </w:pPr>
      <w:r>
        <w:rPr>
          <w:rFonts w:hint="eastAsia" w:ascii="宋体" w:hAnsi="宋体" w:eastAsia="宋体" w:cs="宋体"/>
          <w:b/>
          <w:bCs/>
          <w:sz w:val="24"/>
        </w:rPr>
        <w:t>表1 研发过程的实施控制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396"/>
        <w:gridCol w:w="1983"/>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84" w:type="dxa"/>
            <w:shd w:val="clear" w:color="auto" w:fill="538135"/>
          </w:tcPr>
          <w:p>
            <w:pPr>
              <w:adjustRightInd w:val="0"/>
              <w:snapToGrid w:val="0"/>
              <w:spacing w:before="50" w:line="300" w:lineRule="auto"/>
              <w:jc w:val="center"/>
              <w:rPr>
                <w:rFonts w:ascii="宋体" w:hAnsi="宋体" w:eastAsia="宋体" w:cs="宋体"/>
                <w:b/>
                <w:bCs/>
                <w:snapToGrid w:val="0"/>
                <w:color w:val="FFFFFF"/>
                <w:sz w:val="24"/>
              </w:rPr>
            </w:pPr>
            <w:r>
              <w:rPr>
                <w:rFonts w:ascii="宋体" w:hAnsi="宋体" w:eastAsia="宋体" w:cs="宋体"/>
                <w:b/>
                <w:bCs/>
                <w:snapToGrid w:val="0"/>
                <w:color w:val="FFFFFF"/>
                <w:sz w:val="24"/>
              </w:rPr>
              <w:t>过程内容</w:t>
            </w:r>
          </w:p>
        </w:tc>
        <w:tc>
          <w:tcPr>
            <w:tcW w:w="4396" w:type="dxa"/>
            <w:shd w:val="clear" w:color="auto" w:fill="538135"/>
          </w:tcPr>
          <w:p>
            <w:pPr>
              <w:adjustRightInd w:val="0"/>
              <w:snapToGrid w:val="0"/>
              <w:spacing w:before="50" w:line="300" w:lineRule="auto"/>
              <w:jc w:val="center"/>
              <w:rPr>
                <w:rFonts w:ascii="宋体" w:hAnsi="宋体" w:eastAsia="宋体" w:cs="宋体"/>
                <w:b/>
                <w:bCs/>
                <w:snapToGrid w:val="0"/>
                <w:color w:val="FFFFFF"/>
                <w:sz w:val="24"/>
              </w:rPr>
            </w:pPr>
            <w:r>
              <w:rPr>
                <w:rFonts w:ascii="宋体" w:hAnsi="宋体" w:eastAsia="宋体" w:cs="宋体"/>
                <w:b/>
                <w:bCs/>
                <w:snapToGrid w:val="0"/>
                <w:color w:val="FFFFFF"/>
                <w:sz w:val="24"/>
              </w:rPr>
              <w:t>控制要点</w:t>
            </w:r>
          </w:p>
        </w:tc>
        <w:tc>
          <w:tcPr>
            <w:tcW w:w="1983" w:type="dxa"/>
            <w:shd w:val="clear" w:color="auto" w:fill="538135"/>
          </w:tcPr>
          <w:p>
            <w:pPr>
              <w:adjustRightInd w:val="0"/>
              <w:snapToGrid w:val="0"/>
              <w:spacing w:before="50" w:line="300" w:lineRule="auto"/>
              <w:jc w:val="center"/>
              <w:rPr>
                <w:rFonts w:ascii="宋体" w:hAnsi="宋体" w:eastAsia="宋体" w:cs="宋体"/>
                <w:b/>
                <w:bCs/>
                <w:snapToGrid w:val="0"/>
                <w:color w:val="FFFFFF"/>
                <w:sz w:val="24"/>
              </w:rPr>
            </w:pPr>
            <w:r>
              <w:rPr>
                <w:rFonts w:ascii="宋体" w:hAnsi="宋体" w:eastAsia="宋体" w:cs="宋体"/>
                <w:b/>
                <w:bCs/>
                <w:snapToGrid w:val="0"/>
                <w:color w:val="FFFFFF"/>
                <w:sz w:val="24"/>
              </w:rPr>
              <w:t>实施手段</w:t>
            </w:r>
          </w:p>
        </w:tc>
        <w:tc>
          <w:tcPr>
            <w:tcW w:w="1807" w:type="dxa"/>
            <w:shd w:val="clear" w:color="auto" w:fill="538135"/>
          </w:tcPr>
          <w:p>
            <w:pPr>
              <w:adjustRightInd w:val="0"/>
              <w:snapToGrid w:val="0"/>
              <w:spacing w:before="50" w:line="300" w:lineRule="auto"/>
              <w:jc w:val="center"/>
              <w:rPr>
                <w:rFonts w:ascii="宋体" w:hAnsi="宋体" w:eastAsia="宋体" w:cs="宋体"/>
                <w:b/>
                <w:bCs/>
                <w:snapToGrid w:val="0"/>
                <w:color w:val="FFFFFF"/>
                <w:sz w:val="24"/>
              </w:rPr>
            </w:pPr>
            <w:r>
              <w:rPr>
                <w:rFonts w:ascii="宋体" w:hAnsi="宋体" w:eastAsia="宋体" w:cs="宋体"/>
                <w:b/>
                <w:bCs/>
                <w:snapToGrid w:val="0"/>
                <w:color w:val="FFFFFF"/>
                <w:sz w:val="24"/>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市场调研</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ascii="宋体" w:hAnsi="宋体" w:eastAsia="宋体" w:cs="宋体"/>
                <w:snapToGrid w:val="0"/>
                <w:color w:val="000000"/>
                <w:szCs w:val="22"/>
              </w:rPr>
              <w:t>信息来源的可靠性</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市场调研</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可行性分析</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1.能否不断满足顾客的需求和期望，为客户实现增值；</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2.是否能盈利，成为新的经济增长点，具有良好的经济和社会效益；</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3.项目的研发成功是否能提高公司的创新能力，掌握核心技术，提高公司的核心竞争力，保持行业的领先地位，增强顾客对企业的信心。</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项目可行性评估</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技术部</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批准开发</w:t>
            </w:r>
          </w:p>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计划</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1.顾客的需求，如产品技术标准；</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2.对生产提出要求，如需要合作单位；</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3.满足社会环保要求；</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4.试制到商业化生产的过程。</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项目要求评估</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PM项目管理</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技术部</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工艺准备</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1.工厂现有设备和工艺能力能否完成制造；</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2.需要进行哪些技改；</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3.技改的时间和成本能否配合</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内部能力评估</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生产制造部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原材</w:t>
            </w:r>
            <w:r>
              <w:rPr>
                <w:rFonts w:hint="eastAsia" w:ascii="宋体" w:hAnsi="宋体" w:eastAsia="宋体" w:cs="宋体"/>
                <w:snapToGrid w:val="0"/>
                <w:color w:val="000000"/>
                <w:szCs w:val="22"/>
              </w:rPr>
              <w:t>/辅料试制与复检</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1.厂家是否需要技术支持；</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2.材料试制能否如计划完成；</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3.材料复验指标是否符合产品要求。</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供方能力评估</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实验室检测</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样品制作</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1.材料和设备是否准备到位；</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2.如何在不给正常生产造成大的干扰情况下完成试制。</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小批量试制</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生产制造部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确定样品</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1.验证技术是否成熟和可靠；</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2.有无按照验证程序规范操作；</w:t>
            </w:r>
          </w:p>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3.数据记录是否完整和可靠。</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实验室检测</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第三方检测</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专家鉴定</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技术部</w:t>
            </w:r>
          </w:p>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第三方检测机构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实施改进</w:t>
            </w:r>
          </w:p>
        </w:tc>
        <w:tc>
          <w:tcPr>
            <w:tcW w:w="4396" w:type="dxa"/>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有无持续改进的内容</w:t>
            </w:r>
          </w:p>
        </w:tc>
        <w:tc>
          <w:tcPr>
            <w:tcW w:w="1983" w:type="dxa"/>
            <w:vAlign w:val="center"/>
          </w:tcPr>
          <w:p>
            <w:pPr>
              <w:autoSpaceDE w:val="0"/>
              <w:autoSpaceDN w:val="0"/>
              <w:adjustRightInd w:val="0"/>
              <w:jc w:val="center"/>
              <w:rPr>
                <w:rFonts w:ascii="宋体" w:hAnsi="宋体" w:eastAsia="宋体" w:cs="宋体"/>
                <w:snapToGrid w:val="0"/>
                <w:color w:val="000000"/>
                <w:szCs w:val="22"/>
              </w:rPr>
            </w:pPr>
            <w:r>
              <w:rPr>
                <w:rFonts w:ascii="宋体" w:hAnsi="宋体" w:eastAsia="宋体" w:cs="宋体"/>
                <w:snapToGrid w:val="0"/>
                <w:color w:val="000000"/>
                <w:szCs w:val="22"/>
              </w:rPr>
              <w:t>效果图评审后改进、实物评审后改进、工艺评审后改进</w:t>
            </w:r>
          </w:p>
        </w:tc>
        <w:tc>
          <w:tcPr>
            <w:tcW w:w="1807" w:type="dxa"/>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销售部</w:t>
            </w:r>
          </w:p>
        </w:tc>
      </w:tr>
    </w:tbl>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（3）原材料或零部件采购诚信管理</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坚持“优质原料+严谨检验”，把好原料关。原材料的好坏是决定产品品质的首要因素，川禾机械的原材料供应商为国际、国内知名的原料制造商，原材料进入公司后，须经过一系列严谨的科学检测，确保各项性能优越，优质纯正的专用原材料，从基因上奠定了旨恒机床产品的卓越性能与环保品质。</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此外，公司与供应商签订质量协议，明确对产品性能、法律法规、环境保护等方面的具体要求。在入厂检验阶段，严格按照国家抽样标准进行抽样、检验与试验；对涉及律法规、环境保护、人身安全的，实行零容忍，一旦发现不合格，一律退货，并责令外协厂家进行整改，必要取消其供应商资格。</w:t>
      </w:r>
    </w:p>
    <w:p>
      <w:pPr>
        <w:autoSpaceDE w:val="0"/>
        <w:autoSpaceDN w:val="0"/>
        <w:adjustRightInd w:val="0"/>
        <w:spacing w:line="360" w:lineRule="auto"/>
        <w:jc w:val="center"/>
        <w:rPr>
          <w:rFonts w:ascii="宋体" w:hAnsi="宋体" w:eastAsia="宋体" w:cs="宋体"/>
          <w:b/>
          <w:bCs/>
          <w:sz w:val="24"/>
        </w:rPr>
      </w:pPr>
      <w:r>
        <w:rPr>
          <w:rFonts w:hint="eastAsia" w:ascii="宋体" w:hAnsi="宋体" w:eastAsia="宋体" w:cs="宋体"/>
          <w:b/>
          <w:bCs/>
          <w:sz w:val="24"/>
        </w:rPr>
        <w:t>表2 供应商开发、采购及管理流程</w:t>
      </w:r>
    </w:p>
    <w:tbl>
      <w:tblPr>
        <w:tblStyle w:val="12"/>
        <w:tblW w:w="5000" w:type="pct"/>
        <w:jc w:val="center"/>
        <w:tblLayout w:type="autofit"/>
        <w:tblCellMar>
          <w:top w:w="0" w:type="dxa"/>
          <w:left w:w="108" w:type="dxa"/>
          <w:bottom w:w="0" w:type="dxa"/>
          <w:right w:w="108" w:type="dxa"/>
        </w:tblCellMar>
      </w:tblPr>
      <w:tblGrid>
        <w:gridCol w:w="1769"/>
        <w:gridCol w:w="4998"/>
        <w:gridCol w:w="2803"/>
      </w:tblGrid>
      <w:tr>
        <w:tblPrEx>
          <w:tblCellMar>
            <w:top w:w="0" w:type="dxa"/>
            <w:left w:w="108" w:type="dxa"/>
            <w:bottom w:w="0" w:type="dxa"/>
            <w:right w:w="108" w:type="dxa"/>
          </w:tblCellMar>
        </w:tblPrEx>
        <w:trPr>
          <w:trHeight w:val="459" w:hRule="exact"/>
          <w:tblHeader/>
          <w:jc w:val="center"/>
        </w:trPr>
        <w:tc>
          <w:tcPr>
            <w:tcW w:w="924" w:type="pct"/>
            <w:tcBorders>
              <w:top w:val="single" w:color="000000" w:sz="4" w:space="0"/>
              <w:left w:val="single" w:color="000000" w:sz="4" w:space="0"/>
              <w:bottom w:val="single" w:color="000000" w:sz="4" w:space="0"/>
              <w:right w:val="single" w:color="000000" w:sz="4" w:space="0"/>
              <w:tl2br w:val="nil"/>
              <w:tr2bl w:val="nil"/>
            </w:tcBorders>
            <w:shd w:val="clear" w:color="auto" w:fill="538135"/>
            <w:vAlign w:val="center"/>
          </w:tcPr>
          <w:p>
            <w:pPr>
              <w:spacing w:line="360" w:lineRule="auto"/>
              <w:jc w:val="center"/>
              <w:rPr>
                <w:rFonts w:ascii="宋体" w:hAnsi="宋体" w:eastAsia="宋体" w:cs="宋体"/>
                <w:b/>
                <w:bCs/>
                <w:snapToGrid w:val="0"/>
                <w:color w:val="FFFFFF"/>
                <w:sz w:val="24"/>
              </w:rPr>
            </w:pPr>
            <w:r>
              <w:rPr>
                <w:rFonts w:hint="eastAsia" w:ascii="宋体" w:hAnsi="宋体" w:eastAsia="宋体" w:cs="宋体"/>
                <w:b/>
                <w:bCs/>
                <w:snapToGrid w:val="0"/>
                <w:color w:val="FFFFFF"/>
                <w:sz w:val="24"/>
              </w:rPr>
              <w:t>管理项目</w:t>
            </w:r>
          </w:p>
        </w:tc>
        <w:tc>
          <w:tcPr>
            <w:tcW w:w="2610" w:type="pct"/>
            <w:tcBorders>
              <w:top w:val="single" w:color="000000" w:sz="4" w:space="0"/>
              <w:left w:val="single" w:color="000000" w:sz="4" w:space="0"/>
              <w:bottom w:val="single" w:color="000000" w:sz="4" w:space="0"/>
              <w:right w:val="single" w:color="000000" w:sz="4" w:space="0"/>
              <w:tl2br w:val="nil"/>
              <w:tr2bl w:val="nil"/>
            </w:tcBorders>
            <w:shd w:val="clear" w:color="auto" w:fill="538135"/>
            <w:vAlign w:val="center"/>
          </w:tcPr>
          <w:p>
            <w:pPr>
              <w:spacing w:line="360" w:lineRule="auto"/>
              <w:jc w:val="center"/>
              <w:rPr>
                <w:rFonts w:ascii="宋体" w:hAnsi="宋体" w:eastAsia="宋体" w:cs="宋体"/>
                <w:b/>
                <w:bCs/>
                <w:snapToGrid w:val="0"/>
                <w:color w:val="FFFFFF"/>
                <w:sz w:val="24"/>
              </w:rPr>
            </w:pPr>
            <w:r>
              <w:rPr>
                <w:rFonts w:hint="eastAsia" w:ascii="宋体" w:hAnsi="宋体" w:eastAsia="宋体" w:cs="宋体"/>
                <w:b/>
                <w:bCs/>
                <w:snapToGrid w:val="0"/>
                <w:color w:val="FFFFFF"/>
                <w:sz w:val="24"/>
              </w:rPr>
              <w:t>方法、流程</w:t>
            </w:r>
          </w:p>
        </w:tc>
        <w:tc>
          <w:tcPr>
            <w:tcW w:w="1464" w:type="pct"/>
            <w:tcBorders>
              <w:top w:val="single" w:color="000000" w:sz="4" w:space="0"/>
              <w:left w:val="single" w:color="000000" w:sz="4" w:space="0"/>
              <w:bottom w:val="single" w:color="000000" w:sz="4" w:space="0"/>
              <w:right w:val="single" w:color="000000" w:sz="4" w:space="0"/>
              <w:tl2br w:val="nil"/>
              <w:tr2bl w:val="nil"/>
            </w:tcBorders>
            <w:shd w:val="clear" w:color="auto" w:fill="538135"/>
            <w:vAlign w:val="center"/>
          </w:tcPr>
          <w:p>
            <w:pPr>
              <w:spacing w:line="360" w:lineRule="auto"/>
              <w:jc w:val="center"/>
              <w:rPr>
                <w:rFonts w:ascii="宋体" w:hAnsi="宋体" w:eastAsia="宋体" w:cs="宋体"/>
                <w:b/>
                <w:bCs/>
                <w:snapToGrid w:val="0"/>
                <w:color w:val="FFFFFF"/>
                <w:sz w:val="24"/>
              </w:rPr>
            </w:pPr>
            <w:r>
              <w:rPr>
                <w:rFonts w:hint="eastAsia" w:ascii="宋体" w:hAnsi="宋体" w:eastAsia="宋体" w:cs="宋体"/>
                <w:b/>
                <w:bCs/>
                <w:snapToGrid w:val="0"/>
                <w:color w:val="FFFFFF"/>
                <w:sz w:val="24"/>
              </w:rPr>
              <w:t>相应制度</w:t>
            </w:r>
          </w:p>
        </w:tc>
      </w:tr>
      <w:tr>
        <w:tblPrEx>
          <w:tblCellMar>
            <w:top w:w="0" w:type="dxa"/>
            <w:left w:w="108" w:type="dxa"/>
            <w:bottom w:w="0" w:type="dxa"/>
            <w:right w:w="108" w:type="dxa"/>
          </w:tblCellMar>
        </w:tblPrEx>
        <w:trPr>
          <w:trHeight w:val="1363" w:hRule="exact"/>
          <w:jc w:val="center"/>
        </w:trPr>
        <w:tc>
          <w:tcPr>
            <w:tcW w:w="92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供应商开发</w:t>
            </w:r>
          </w:p>
        </w:tc>
        <w:tc>
          <w:tcPr>
            <w:tcW w:w="261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公司根据年度新产品开发对材料的技术需求，通过网络、发函已合作供应商、行业协会等途径对所需材料按供应商评审程序进行联系和筛选。</w:t>
            </w:r>
          </w:p>
        </w:tc>
        <w:tc>
          <w:tcPr>
            <w:tcW w:w="146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r>
        <w:tblPrEx>
          <w:tblCellMar>
            <w:top w:w="0" w:type="dxa"/>
            <w:left w:w="108" w:type="dxa"/>
            <w:bottom w:w="0" w:type="dxa"/>
            <w:right w:w="108" w:type="dxa"/>
          </w:tblCellMar>
        </w:tblPrEx>
        <w:trPr>
          <w:trHeight w:val="1203" w:hRule="exact"/>
          <w:jc w:val="center"/>
        </w:trPr>
        <w:tc>
          <w:tcPr>
            <w:tcW w:w="924" w:type="pct"/>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供应商审核</w:t>
            </w:r>
          </w:p>
        </w:tc>
        <w:tc>
          <w:tcPr>
            <w:tcW w:w="2610" w:type="pct"/>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按照现场评审→小样品鉴定→小批量鉴定→综评→签订合同、建立合作关系的流程进行供应商的进入审核。</w:t>
            </w:r>
          </w:p>
        </w:tc>
        <w:tc>
          <w:tcPr>
            <w:tcW w:w="1464" w:type="pct"/>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《外部提供产品、服务和过程控制程序》、《过程审核报告》、《合格供方评定准则》</w:t>
            </w:r>
          </w:p>
        </w:tc>
      </w:tr>
      <w:tr>
        <w:tblPrEx>
          <w:tblCellMar>
            <w:top w:w="0" w:type="dxa"/>
            <w:left w:w="108" w:type="dxa"/>
            <w:bottom w:w="0" w:type="dxa"/>
            <w:right w:w="108" w:type="dxa"/>
          </w:tblCellMar>
        </w:tblPrEx>
        <w:trPr>
          <w:trHeight w:val="1298" w:hRule="exact"/>
          <w:jc w:val="center"/>
        </w:trPr>
        <w:tc>
          <w:tcPr>
            <w:tcW w:w="92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合作供应商评估考核</w:t>
            </w:r>
          </w:p>
        </w:tc>
        <w:tc>
          <w:tcPr>
            <w:tcW w:w="261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从质量、交期、价格、服务四个维度对供应商的日常表现进行定期记录并考核，促进供应商提升供应水平。</w:t>
            </w:r>
          </w:p>
        </w:tc>
        <w:tc>
          <w:tcPr>
            <w:tcW w:w="146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《过程审核报告》</w:t>
            </w:r>
          </w:p>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r>
        <w:tblPrEx>
          <w:tblCellMar>
            <w:top w:w="0" w:type="dxa"/>
            <w:left w:w="108" w:type="dxa"/>
            <w:bottom w:w="0" w:type="dxa"/>
            <w:right w:w="108" w:type="dxa"/>
          </w:tblCellMar>
        </w:tblPrEx>
        <w:trPr>
          <w:trHeight w:val="1185" w:hRule="exact"/>
          <w:jc w:val="center"/>
        </w:trPr>
        <w:tc>
          <w:tcPr>
            <w:tcW w:w="924" w:type="pct"/>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供应商竞争机制建设</w:t>
            </w:r>
          </w:p>
        </w:tc>
        <w:tc>
          <w:tcPr>
            <w:tcW w:w="2610" w:type="pct"/>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left"/>
              <w:rPr>
                <w:rFonts w:ascii="宋体" w:hAnsi="宋体" w:eastAsia="宋体" w:cs="宋体"/>
                <w:snapToGrid w:val="0"/>
                <w:color w:val="000000"/>
                <w:szCs w:val="22"/>
              </w:rPr>
            </w:pPr>
            <w:r>
              <w:rPr>
                <w:rFonts w:hint="eastAsia" w:ascii="宋体" w:hAnsi="宋体" w:eastAsia="宋体" w:cs="宋体"/>
                <w:snapToGrid w:val="0"/>
                <w:color w:val="000000"/>
                <w:szCs w:val="22"/>
              </w:rPr>
              <w:t>主要材料开发两家及以上供应商供货及采取招标办法，形成良性竞争局势，促进供应商提升综合水准并达到控制成本的目的。</w:t>
            </w:r>
          </w:p>
        </w:tc>
        <w:tc>
          <w:tcPr>
            <w:tcW w:w="1464" w:type="pct"/>
            <w:tcBorders>
              <w:top w:val="single" w:color="000000" w:sz="4" w:space="0"/>
              <w:left w:val="single" w:color="000000" w:sz="4" w:space="0"/>
              <w:bottom w:val="single" w:color="000000" w:sz="4" w:space="0"/>
              <w:right w:val="single" w:color="000000" w:sz="4" w:space="0"/>
              <w:tl2br w:val="nil"/>
              <w:tr2bl w:val="nil"/>
            </w:tcBorders>
            <w:vAlign w:val="center"/>
          </w:tcPr>
          <w:p>
            <w:pPr>
              <w:autoSpaceDE w:val="0"/>
              <w:autoSpaceDN w:val="0"/>
              <w:adjustRightInd w:val="0"/>
              <w:jc w:val="center"/>
              <w:rPr>
                <w:rFonts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bl>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p>
    <w:p>
      <w:pPr>
        <w:autoSpaceDE w:val="0"/>
        <w:autoSpaceDN w:val="0"/>
        <w:adjustRightInd w:val="0"/>
        <w:spacing w:line="360" w:lineRule="auto"/>
        <w:ind w:firstLine="466" w:firstLineChars="200"/>
        <w:jc w:val="left"/>
        <w:rPr>
          <w:rFonts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（4）生产过程诚信管理</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依据生产过程准时交货、产品合格、效率最高、成本最小化、战略项目持续攻关的要求，为实现公司设定的生产计划达成率、产品一次交验合格率、重大安全事故为零、万元人均产值等绩效指标，公司设立了生产管理部，结合先进设备、自主研究的信息化系统支持平台、持续改进的柔性化精益管理理念，以及产品个性化制定的特殊要求来设计产品制造过程。</w:t>
      </w:r>
    </w:p>
    <w:p>
      <w:pPr>
        <w:autoSpaceDE w:val="0"/>
        <w:autoSpaceDN w:val="0"/>
        <w:adjustRightInd w:val="0"/>
        <w:spacing w:line="360" w:lineRule="auto"/>
        <w:ind w:firstLine="464" w:firstLineChars="200"/>
        <w:jc w:val="left"/>
        <w:rPr>
          <w:rFonts w:ascii="宋体" w:hAnsi="宋体" w:eastAsia="宋体" w:cs="微软雅黑"/>
          <w:color w:val="000000"/>
          <w:spacing w:val="-4"/>
          <w:sz w:val="28"/>
          <w:szCs w:val="28"/>
        </w:rPr>
      </w:pPr>
      <w:r>
        <w:rPr>
          <w:rFonts w:hint="eastAsia" w:ascii="宋体" w:hAnsi="宋体" w:eastAsia="宋体" w:cs="微软雅黑"/>
          <w:color w:val="000000"/>
          <w:spacing w:val="-4"/>
          <w:sz w:val="24"/>
          <w:szCs w:val="28"/>
        </w:rPr>
        <w:t>公司将新工艺、新技术、各类生产经营信息，全面融合到整个生产过程中，借助MES优秀管理系统平台，以及深厚的行业实践经验和技术能力，优化流程持续提高产品过程流价值，满足客户的质量、交期、成本的要求。按照《生产和服务提供控制程序》、《监视和测量资源控制程序》、《不合格输出控制程序》、《改进控制程序》等规章制度，开展生产过程管理工作。</w:t>
      </w:r>
    </w:p>
    <w:p>
      <w:pPr>
        <w:spacing w:before="156" w:beforeLines="50" w:line="360" w:lineRule="auto"/>
        <w:ind w:firstLine="482" w:firstLineChars="200"/>
        <w:outlineLvl w:val="2"/>
        <w:rPr>
          <w:rFonts w:ascii="宋体" w:hAnsi="宋体" w:eastAsia="宋体" w:cs="楷体"/>
          <w:b/>
          <w:color w:val="000000"/>
          <w:sz w:val="24"/>
          <w:szCs w:val="36"/>
        </w:rPr>
      </w:pPr>
      <w:bookmarkStart w:id="19" w:name="_Toc48809474"/>
      <w:r>
        <w:rPr>
          <w:rFonts w:hint="eastAsia" w:ascii="宋体" w:hAnsi="宋体" w:eastAsia="宋体" w:cs="楷体"/>
          <w:b/>
          <w:color w:val="000000"/>
          <w:sz w:val="24"/>
          <w:szCs w:val="36"/>
        </w:rPr>
        <w:t>（三）营销管理</w:t>
      </w:r>
      <w:bookmarkEnd w:id="19"/>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获取最大市场份额、顾客满意、完成销售任务的要求，为实现销售达成率、市场占有率、客户投诉率、销售收入增长率等绩效指标，公司设立销售管理部。公司从市场调研和细分开始，收集情报，根据不同顾客群及其差异化需求，制定相应的营销方案或策略，在此基础上进行市场开发、建立业务关系、顾客服务与顾客管理等活动，并通过信息的传递、反馈，进行营销服务过程的设计。</w:t>
      </w:r>
    </w:p>
    <w:p>
      <w:pPr>
        <w:widowControl/>
        <w:spacing w:line="360" w:lineRule="auto"/>
        <w:jc w:val="center"/>
        <w:rPr>
          <w:rFonts w:ascii="宋体" w:hAnsi="宋体" w:eastAsia="宋体" w:cs="宋体"/>
          <w:bCs/>
          <w:szCs w:val="22"/>
        </w:rPr>
      </w:pPr>
      <w:r>
        <w:rPr>
          <w:rFonts w:ascii="宋体" w:hAnsi="宋体"/>
          <w:color w:val="000000"/>
          <w:sz w:val="17"/>
        </w:rPr>
        <w:drawing>
          <wp:inline distT="0" distB="0" distL="114300" distR="114300">
            <wp:extent cx="4648200" cy="2953385"/>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pic:cNvPicPr>
                  </pic:nvPicPr>
                  <pic:blipFill>
                    <a:blip r:embed="rId11"/>
                    <a:stretch>
                      <a:fillRect/>
                    </a:stretch>
                  </pic:blipFill>
                  <pic:spPr>
                    <a:xfrm>
                      <a:off x="0" y="0"/>
                      <a:ext cx="4655824" cy="2958403"/>
                    </a:xfrm>
                    <a:prstGeom prst="rect">
                      <a:avLst/>
                    </a:prstGeom>
                    <a:noFill/>
                    <a:ln>
                      <a:noFill/>
                    </a:ln>
                  </pic:spPr>
                </pic:pic>
              </a:graphicData>
            </a:graphic>
          </wp:inline>
        </w:drawing>
      </w:r>
    </w:p>
    <w:p>
      <w:pPr>
        <w:widowControl/>
        <w:spacing w:line="360" w:lineRule="auto"/>
        <w:jc w:val="center"/>
        <w:rPr>
          <w:rFonts w:ascii="宋体" w:hAnsi="宋体" w:eastAsia="宋体" w:cs="楷体"/>
          <w:b/>
          <w:color w:val="000000"/>
          <w:sz w:val="28"/>
          <w:szCs w:val="36"/>
        </w:rPr>
      </w:pPr>
      <w:r>
        <w:rPr>
          <w:rFonts w:hint="eastAsia" w:ascii="宋体" w:hAnsi="宋体" w:eastAsia="宋体" w:cs="宋体"/>
          <w:b/>
          <w:sz w:val="24"/>
          <w:szCs w:val="28"/>
        </w:rPr>
        <w:t>图3 营销过程设计流程图</w:t>
      </w:r>
      <w:bookmarkStart w:id="20" w:name="_Toc48809475"/>
    </w:p>
    <w:p>
      <w:pPr>
        <w:spacing w:before="156" w:beforeLines="50" w:line="360" w:lineRule="auto"/>
        <w:outlineLvl w:val="1"/>
        <w:rPr>
          <w:rFonts w:ascii="宋体" w:hAnsi="宋体" w:eastAsia="宋体" w:cs="楷体"/>
          <w:b/>
          <w:color w:val="000000"/>
          <w:sz w:val="28"/>
          <w:szCs w:val="36"/>
        </w:rPr>
      </w:pPr>
      <w:r>
        <w:rPr>
          <w:rFonts w:hint="eastAsia" w:ascii="宋体" w:hAnsi="宋体" w:eastAsia="宋体" w:cs="楷体"/>
          <w:b/>
          <w:color w:val="000000"/>
          <w:sz w:val="28"/>
          <w:szCs w:val="36"/>
        </w:rPr>
        <w:t>四、企业质量基础</w:t>
      </w:r>
      <w:bookmarkEnd w:id="20"/>
    </w:p>
    <w:p>
      <w:pPr>
        <w:spacing w:line="360" w:lineRule="auto"/>
        <w:ind w:firstLine="482" w:firstLineChars="200"/>
        <w:outlineLvl w:val="2"/>
        <w:rPr>
          <w:rFonts w:ascii="宋体" w:hAnsi="宋体" w:eastAsia="宋体" w:cs="楷体"/>
          <w:b/>
          <w:color w:val="000000"/>
          <w:sz w:val="24"/>
          <w:szCs w:val="32"/>
        </w:rPr>
      </w:pPr>
      <w:bookmarkStart w:id="21" w:name="_Toc48809476"/>
      <w:r>
        <w:rPr>
          <w:rFonts w:hint="eastAsia" w:ascii="宋体" w:hAnsi="宋体" w:eastAsia="宋体" w:cs="楷体"/>
          <w:b/>
          <w:color w:val="000000"/>
          <w:sz w:val="24"/>
          <w:szCs w:val="32"/>
        </w:rPr>
        <w:t>（一）标准管理情况</w:t>
      </w:r>
      <w:bookmarkEnd w:id="21"/>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标准是提高产品品质和节能降耗的一个重要因素，公司积极引用国际标准及国外先进标准。在原材料采购、产品制造和加工、半成品和成品检验等各个产品生产环节制定较为严格的内控指标，并引用或制定相关标准为生产提供支撑，对整个生产环境加以标准化规范管理。为保证产品质量、提高企业的管理水平提供良好的保障。</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川禾机械严格执行国家和行业技术标准外，在此基础上，川禾机械积极对标“国内一流 国际先进”的浙江制造团体标准T/ZZB 2090-2021《电主轴车铣复合机床》开展“浙江制造”认证。</w:t>
      </w:r>
    </w:p>
    <w:p>
      <w:pPr>
        <w:spacing w:line="360" w:lineRule="auto"/>
        <w:ind w:firstLine="482" w:firstLineChars="200"/>
        <w:outlineLvl w:val="2"/>
        <w:rPr>
          <w:rFonts w:ascii="宋体" w:hAnsi="宋体" w:eastAsia="宋体" w:cs="楷体"/>
          <w:b/>
          <w:color w:val="000000"/>
          <w:sz w:val="24"/>
          <w:szCs w:val="32"/>
        </w:rPr>
      </w:pPr>
      <w:bookmarkStart w:id="22" w:name="_Toc48809477"/>
      <w:r>
        <w:rPr>
          <w:rFonts w:hint="eastAsia" w:ascii="宋体" w:hAnsi="宋体" w:eastAsia="宋体" w:cs="楷体"/>
          <w:b/>
          <w:color w:val="000000"/>
          <w:sz w:val="24"/>
          <w:szCs w:val="32"/>
        </w:rPr>
        <w:t>（二）计量管理情况</w:t>
      </w:r>
      <w:bookmarkEnd w:id="22"/>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了较完善的计量保证体系，出台了计量手册、程序文件等，确定了企业近期的计量方针和目标，规定了计量管理机构及人员的权限和职责，描述了计量活动的诸要素，规定了浙江旨恒机床有限公司的计量方针、目标、计量管理机构的设置、主要职能部门、人员的计量职责、计量体系要求的建立、计量体系文件和管理等。</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生产制造部负责生产制造相关基础设施的维护，严格按照维护保养制度落实，确保生产设施始终处于良好运行状态。人事部负责对厂房、办公楼等生活、后勤、办公设施的维护。</w:t>
      </w:r>
    </w:p>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制定了设备三级保养制度等设备维护保养相关制度。每台设备均建立了档案资料，包括设备图纸、使用说明书、使用/维护保养工艺卡、验收报告、日常点检保养记录等，并实行车间、维修人员、使用人员的三级预防性维护保养制度。</w:t>
      </w:r>
    </w:p>
    <w:p>
      <w:pPr>
        <w:jc w:val="center"/>
        <w:rPr>
          <w:rFonts w:ascii="宋体" w:hAnsi="宋体" w:eastAsia="宋体" w:cs="宋体"/>
          <w:b/>
          <w:bCs/>
          <w:sz w:val="24"/>
        </w:rPr>
      </w:pPr>
      <w:r>
        <w:rPr>
          <w:rFonts w:hint="eastAsia" w:ascii="宋体" w:hAnsi="宋体" w:eastAsia="宋体" w:cs="宋体"/>
          <w:b/>
          <w:bCs/>
          <w:sz w:val="24"/>
        </w:rPr>
        <w:t>表3 设备三级维护保养制度</w:t>
      </w:r>
    </w:p>
    <w:tbl>
      <w:tblPr>
        <w:tblStyle w:val="1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60"/>
        <w:gridCol w:w="5040"/>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961" w:type="dxa"/>
            <w:shd w:val="clear" w:color="auto" w:fill="538135"/>
            <w:vAlign w:val="center"/>
          </w:tcPr>
          <w:p>
            <w:pPr>
              <w:adjustRightInd w:val="0"/>
              <w:snapToGrid w:val="0"/>
              <w:spacing w:before="50" w:line="300" w:lineRule="auto"/>
              <w:jc w:val="center"/>
              <w:rPr>
                <w:rFonts w:ascii="宋体" w:hAnsi="宋体" w:eastAsia="宋体" w:cs="Times New Roman"/>
                <w:b/>
                <w:bCs/>
                <w:snapToGrid w:val="0"/>
                <w:color w:val="FFFFFF"/>
                <w:sz w:val="24"/>
              </w:rPr>
            </w:pPr>
            <w:r>
              <w:rPr>
                <w:rFonts w:hint="eastAsia" w:ascii="宋体" w:hAnsi="宋体" w:eastAsia="宋体" w:cs="宋体"/>
                <w:b/>
                <w:bCs/>
                <w:snapToGrid w:val="0"/>
                <w:color w:val="FFFFFF"/>
                <w:sz w:val="24"/>
              </w:rPr>
              <w:t>级别</w:t>
            </w:r>
          </w:p>
        </w:tc>
        <w:tc>
          <w:tcPr>
            <w:tcW w:w="1560" w:type="dxa"/>
            <w:shd w:val="clear" w:color="auto" w:fill="538135"/>
            <w:vAlign w:val="center"/>
          </w:tcPr>
          <w:p>
            <w:pPr>
              <w:adjustRightInd w:val="0"/>
              <w:snapToGrid w:val="0"/>
              <w:spacing w:before="50" w:line="300" w:lineRule="auto"/>
              <w:jc w:val="center"/>
              <w:rPr>
                <w:rFonts w:ascii="宋体" w:hAnsi="宋体" w:eastAsia="宋体" w:cs="Times New Roman"/>
                <w:b/>
                <w:bCs/>
                <w:snapToGrid w:val="0"/>
                <w:color w:val="FFFFFF"/>
                <w:sz w:val="24"/>
              </w:rPr>
            </w:pPr>
            <w:r>
              <w:rPr>
                <w:rFonts w:hint="eastAsia" w:ascii="宋体" w:hAnsi="宋体" w:eastAsia="宋体" w:cs="宋体"/>
                <w:b/>
                <w:bCs/>
                <w:snapToGrid w:val="0"/>
                <w:color w:val="FFFFFF"/>
                <w:sz w:val="24"/>
              </w:rPr>
              <w:t>负责人</w:t>
            </w:r>
          </w:p>
        </w:tc>
        <w:tc>
          <w:tcPr>
            <w:tcW w:w="5040" w:type="dxa"/>
            <w:shd w:val="clear" w:color="auto" w:fill="538135"/>
            <w:vAlign w:val="center"/>
          </w:tcPr>
          <w:p>
            <w:pPr>
              <w:adjustRightInd w:val="0"/>
              <w:snapToGrid w:val="0"/>
              <w:spacing w:before="50" w:line="300" w:lineRule="auto"/>
              <w:jc w:val="center"/>
              <w:rPr>
                <w:rFonts w:ascii="宋体" w:hAnsi="宋体" w:eastAsia="宋体" w:cs="Times New Roman"/>
                <w:b/>
                <w:bCs/>
                <w:snapToGrid w:val="0"/>
                <w:color w:val="FFFFFF"/>
                <w:sz w:val="24"/>
              </w:rPr>
            </w:pPr>
            <w:r>
              <w:rPr>
                <w:rFonts w:hint="eastAsia" w:ascii="宋体" w:hAnsi="宋体" w:eastAsia="宋体" w:cs="宋体"/>
                <w:b/>
                <w:bCs/>
                <w:snapToGrid w:val="0"/>
                <w:color w:val="FFFFFF"/>
                <w:sz w:val="24"/>
              </w:rPr>
              <w:t>方法</w:t>
            </w:r>
          </w:p>
        </w:tc>
        <w:tc>
          <w:tcPr>
            <w:tcW w:w="2009" w:type="dxa"/>
            <w:shd w:val="clear" w:color="auto" w:fill="538135"/>
            <w:vAlign w:val="center"/>
          </w:tcPr>
          <w:p>
            <w:pPr>
              <w:adjustRightInd w:val="0"/>
              <w:snapToGrid w:val="0"/>
              <w:spacing w:before="50" w:line="300" w:lineRule="auto"/>
              <w:jc w:val="center"/>
              <w:rPr>
                <w:rFonts w:ascii="宋体" w:hAnsi="宋体" w:eastAsia="宋体" w:cs="Times New Roman"/>
                <w:b/>
                <w:bCs/>
                <w:snapToGrid w:val="0"/>
                <w:color w:val="FFFFFF"/>
                <w:sz w:val="24"/>
              </w:rPr>
            </w:pPr>
            <w:r>
              <w:rPr>
                <w:rFonts w:hint="eastAsia" w:ascii="宋体" w:hAnsi="宋体" w:eastAsia="宋体" w:cs="宋体"/>
                <w:b/>
                <w:bCs/>
                <w:snapToGrid w:val="0"/>
                <w:color w:val="FFFFFF"/>
                <w:sz w:val="24"/>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61"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一级</w:t>
            </w:r>
          </w:p>
        </w:tc>
        <w:tc>
          <w:tcPr>
            <w:tcW w:w="1560"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生产管理部</w:t>
            </w:r>
          </w:p>
        </w:tc>
        <w:tc>
          <w:tcPr>
            <w:tcW w:w="5040"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年度大修设备</w:t>
            </w:r>
          </w:p>
        </w:tc>
        <w:tc>
          <w:tcPr>
            <w:tcW w:w="2009"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设备记录表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61"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二级</w:t>
            </w:r>
          </w:p>
        </w:tc>
        <w:tc>
          <w:tcPr>
            <w:tcW w:w="1560"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维修人员</w:t>
            </w:r>
          </w:p>
        </w:tc>
        <w:tc>
          <w:tcPr>
            <w:tcW w:w="5040"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按保养计划，定期检查、维护、保养（月检、季检等）</w:t>
            </w:r>
          </w:p>
        </w:tc>
        <w:tc>
          <w:tcPr>
            <w:tcW w:w="2009"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设备维修记录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1"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三级</w:t>
            </w:r>
          </w:p>
        </w:tc>
        <w:tc>
          <w:tcPr>
            <w:tcW w:w="1560"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员工</w:t>
            </w:r>
          </w:p>
        </w:tc>
        <w:tc>
          <w:tcPr>
            <w:tcW w:w="5040"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宋体"/>
                <w:snapToGrid w:val="0"/>
                <w:color w:val="000000"/>
                <w:szCs w:val="22"/>
              </w:rPr>
              <w:t>每日检查、日常点检</w:t>
            </w:r>
          </w:p>
        </w:tc>
        <w:tc>
          <w:tcPr>
            <w:tcW w:w="2009" w:type="dxa"/>
            <w:vAlign w:val="center"/>
          </w:tcPr>
          <w:p>
            <w:pPr>
              <w:adjustRightInd w:val="0"/>
              <w:snapToGrid w:val="0"/>
              <w:jc w:val="center"/>
              <w:rPr>
                <w:rFonts w:ascii="宋体" w:hAnsi="宋体" w:eastAsia="宋体" w:cs="Times New Roman"/>
                <w:snapToGrid w:val="0"/>
                <w:color w:val="000000"/>
                <w:szCs w:val="22"/>
              </w:rPr>
            </w:pPr>
            <w:r>
              <w:rPr>
                <w:rFonts w:hint="eastAsia" w:ascii="宋体" w:hAnsi="宋体" w:eastAsia="宋体" w:cs="Times New Roman"/>
                <w:snapToGrid w:val="0"/>
                <w:color w:val="000000"/>
                <w:szCs w:val="22"/>
              </w:rPr>
              <w:t>设备点检表</w:t>
            </w:r>
          </w:p>
        </w:tc>
      </w:tr>
    </w:tbl>
    <w:p>
      <w:pPr>
        <w:autoSpaceDE w:val="0"/>
        <w:autoSpaceDN w:val="0"/>
        <w:adjustRightInd w:val="0"/>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制定设备维修保养计划时，充分考虑设备的故障规律，并根据设备的实际使用情况和以往的维修记录，识别出设备的薄弱部件，做好备品配件，以便在设备出现临时故障时能够快速反应，快速恢复生产。</w:t>
      </w:r>
    </w:p>
    <w:p>
      <w:pPr>
        <w:spacing w:line="360" w:lineRule="auto"/>
        <w:ind w:firstLine="482" w:firstLineChars="200"/>
        <w:outlineLvl w:val="2"/>
        <w:rPr>
          <w:rFonts w:ascii="宋体" w:hAnsi="宋体" w:eastAsia="宋体" w:cs="楷体"/>
          <w:b/>
          <w:color w:val="000000"/>
          <w:sz w:val="24"/>
          <w:szCs w:val="32"/>
        </w:rPr>
      </w:pPr>
      <w:bookmarkStart w:id="23" w:name="_Toc48809478"/>
      <w:r>
        <w:rPr>
          <w:rFonts w:hint="eastAsia" w:ascii="宋体" w:hAnsi="宋体" w:eastAsia="宋体" w:cs="楷体"/>
          <w:b/>
          <w:color w:val="000000"/>
          <w:sz w:val="24"/>
          <w:szCs w:val="32"/>
        </w:rPr>
        <w:t>（三）认证管理情况</w:t>
      </w:r>
      <w:bookmarkEnd w:id="23"/>
    </w:p>
    <w:p>
      <w:pPr>
        <w:spacing w:line="360" w:lineRule="auto"/>
        <w:rPr>
          <w:rFonts w:ascii="宋体" w:hAnsi="宋体" w:eastAsia="宋体" w:cs="微软雅黑"/>
          <w:color w:val="000000"/>
          <w:spacing w:val="-4"/>
          <w:sz w:val="24"/>
          <w:szCs w:val="28"/>
        </w:rPr>
      </w:pPr>
      <w:r>
        <w:rPr>
          <w:rFonts w:hint="eastAsia" w:ascii="宋体" w:hAnsi="宋体" w:eastAsia="宋体" w:cs="Times New Roman"/>
          <w:sz w:val="28"/>
          <w:szCs w:val="28"/>
        </w:rPr>
        <w:t>　</w:t>
      </w:r>
      <w:r>
        <w:rPr>
          <w:rFonts w:hint="eastAsia" w:ascii="宋体" w:hAnsi="宋体" w:eastAsia="宋体" w:cs="微软雅黑"/>
          <w:color w:val="000000"/>
          <w:spacing w:val="-4"/>
          <w:sz w:val="24"/>
          <w:szCs w:val="28"/>
        </w:rPr>
        <w:t xml:space="preserve"> 公司通过了ISO9001质量管理体系认证、ISO14001环境管理体系认证、ISO45001职业健康安全管理体系认证。同时，公司一直致力于管理进步和管理创新，通过技术进步和管理创新，持续改进产品质量，不断满足顾客日益增长的需求。</w:t>
      </w:r>
    </w:p>
    <w:p>
      <w:pPr>
        <w:spacing w:line="360" w:lineRule="auto"/>
        <w:ind w:firstLine="482" w:firstLineChars="200"/>
        <w:outlineLvl w:val="2"/>
        <w:rPr>
          <w:rFonts w:ascii="宋体" w:hAnsi="宋体" w:eastAsia="宋体" w:cs="楷体"/>
          <w:b/>
          <w:color w:val="000000"/>
          <w:sz w:val="24"/>
          <w:szCs w:val="32"/>
        </w:rPr>
      </w:pPr>
      <w:bookmarkStart w:id="24" w:name="_Toc48809479"/>
      <w:r>
        <w:rPr>
          <w:rFonts w:hint="eastAsia" w:ascii="宋体" w:hAnsi="宋体" w:eastAsia="宋体" w:cs="楷体"/>
          <w:b/>
          <w:color w:val="000000"/>
          <w:sz w:val="24"/>
          <w:szCs w:val="32"/>
        </w:rPr>
        <w:t>（四）检验设备管理情况</w:t>
      </w:r>
      <w:bookmarkEnd w:id="24"/>
    </w:p>
    <w:p>
      <w:pPr>
        <w:spacing w:line="360" w:lineRule="auto"/>
        <w:ind w:firstLine="464" w:firstLineChars="200"/>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对检测器具从采购、验收、使用严格按照仪器设备管理程序执行，实验室有专人保管计量器具，建立台帐和登记手续，检测仪器的使用必须通过检定，有检定合格证方可投入使用；对在用的检测仪器设备严格按周期检定，强化现场检查和监管，掌握其使用情况，发现问题及时处理；对存在问题部门提出整改意见，采取积极有效措施进行整改，为生产、销售高品质的产品奠定了坚实的的计量基础。</w:t>
      </w:r>
    </w:p>
    <w:p>
      <w:pPr>
        <w:spacing w:before="156" w:beforeLines="50" w:line="360" w:lineRule="auto"/>
        <w:outlineLvl w:val="1"/>
        <w:rPr>
          <w:rFonts w:ascii="宋体" w:hAnsi="宋体" w:eastAsia="宋体" w:cs="楷体"/>
          <w:b/>
          <w:color w:val="000000"/>
          <w:sz w:val="28"/>
          <w:szCs w:val="36"/>
        </w:rPr>
      </w:pPr>
      <w:bookmarkStart w:id="25" w:name="_Toc48809480"/>
      <w:r>
        <w:rPr>
          <w:rFonts w:hint="eastAsia" w:ascii="宋体" w:hAnsi="宋体" w:eastAsia="宋体" w:cs="楷体"/>
          <w:b/>
          <w:color w:val="000000"/>
          <w:sz w:val="28"/>
          <w:szCs w:val="36"/>
        </w:rPr>
        <w:t>五、产品质量责任</w:t>
      </w:r>
      <w:bookmarkEnd w:id="25"/>
    </w:p>
    <w:p>
      <w:pPr>
        <w:spacing w:line="360" w:lineRule="auto"/>
        <w:ind w:firstLine="482" w:firstLineChars="200"/>
        <w:outlineLvl w:val="2"/>
        <w:rPr>
          <w:rFonts w:ascii="宋体" w:hAnsi="宋体" w:eastAsia="宋体" w:cs="楷体"/>
          <w:b/>
          <w:color w:val="000000"/>
          <w:sz w:val="24"/>
          <w:szCs w:val="32"/>
        </w:rPr>
      </w:pPr>
      <w:bookmarkStart w:id="26" w:name="_Toc48809481"/>
      <w:r>
        <w:rPr>
          <w:rFonts w:hint="eastAsia" w:ascii="宋体" w:hAnsi="宋体" w:eastAsia="宋体" w:cs="楷体"/>
          <w:b/>
          <w:color w:val="000000"/>
          <w:sz w:val="24"/>
          <w:szCs w:val="32"/>
        </w:rPr>
        <w:t>（一）产品质量水平</w:t>
      </w:r>
      <w:bookmarkEnd w:id="26"/>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公司实行巡检和成品检验，制定了作业指导书，实行动态质量监控，对成品逐台进行严格的工艺控制和质量把关。对不合格品做上标识并放入不合格品区。</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对现场出现的问题及时分析原因，提出纠正预防改进措施，进行品质通报，确保产品符合质量标准。</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车间设立了专职质量管理人员，对本车间的成品实行质量抽查，对各个生产工位进行巡回检查，对容易出现质量问题的工位和操作工进行重点监督和指导。同时，加强对生产环境的监督，对影响产品和员工安全的因素及时改正，并要求员工做好相关安全防护措施，确保安全生产。</w:t>
      </w:r>
    </w:p>
    <w:p>
      <w:pPr>
        <w:spacing w:line="360" w:lineRule="auto"/>
        <w:ind w:firstLine="482" w:firstLineChars="200"/>
        <w:outlineLvl w:val="2"/>
        <w:rPr>
          <w:rFonts w:ascii="宋体" w:hAnsi="宋体" w:eastAsia="宋体" w:cs="楷体"/>
          <w:b/>
          <w:color w:val="000000"/>
          <w:sz w:val="24"/>
          <w:szCs w:val="32"/>
        </w:rPr>
      </w:pPr>
      <w:bookmarkStart w:id="27" w:name="_Toc48809482"/>
      <w:r>
        <w:rPr>
          <w:rFonts w:hint="eastAsia" w:ascii="宋体" w:hAnsi="宋体" w:eastAsia="宋体" w:cs="楷体"/>
          <w:b/>
          <w:color w:val="000000"/>
          <w:sz w:val="24"/>
          <w:szCs w:val="32"/>
        </w:rPr>
        <w:t>（二）产品售后责任</w:t>
      </w:r>
      <w:bookmarkEnd w:id="27"/>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川禾机械在售后服务方面，加强顾客反馈和异议处理管理，并制定管理流程，明确销售管理部的职责，保证顾客投诉得到及时有效处理。</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同时，为确保客户投诉的信息有效利用，公司每月对生产质量投诉进行汇总；对存在相似的生产质量投诉问题进行专题分析，制定整改措施，并通过质量体系进行审核，实施有效改进。</w:t>
      </w:r>
    </w:p>
    <w:p>
      <w:pPr>
        <w:spacing w:line="360" w:lineRule="auto"/>
        <w:ind w:firstLine="482" w:firstLineChars="200"/>
        <w:outlineLvl w:val="2"/>
        <w:rPr>
          <w:rFonts w:ascii="宋体" w:hAnsi="宋体" w:eastAsia="宋体" w:cs="楷体"/>
          <w:b/>
          <w:color w:val="000000"/>
          <w:sz w:val="24"/>
          <w:szCs w:val="32"/>
        </w:rPr>
      </w:pPr>
      <w:bookmarkStart w:id="28" w:name="_Toc48809483"/>
      <w:r>
        <w:rPr>
          <w:rFonts w:hint="eastAsia" w:ascii="宋体" w:hAnsi="宋体" w:eastAsia="宋体" w:cs="楷体"/>
          <w:b/>
          <w:color w:val="000000"/>
          <w:sz w:val="24"/>
          <w:szCs w:val="32"/>
        </w:rPr>
        <w:t>（三）企业社会责任</w:t>
      </w:r>
      <w:bookmarkEnd w:id="28"/>
    </w:p>
    <w:p>
      <w:pPr>
        <w:spacing w:line="360" w:lineRule="auto"/>
        <w:ind w:firstLine="482" w:firstLineChars="200"/>
        <w:rPr>
          <w:rFonts w:ascii="宋体" w:hAnsi="宋体" w:eastAsia="宋体" w:cs="黑体"/>
          <w:b/>
          <w:sz w:val="24"/>
          <w:szCs w:val="28"/>
        </w:rPr>
      </w:pPr>
      <w:r>
        <w:rPr>
          <w:rFonts w:hint="eastAsia" w:ascii="宋体" w:hAnsi="宋体" w:eastAsia="宋体" w:cs="黑体"/>
          <w:b/>
          <w:sz w:val="24"/>
          <w:szCs w:val="28"/>
        </w:rPr>
        <w:t>（1）企业公共责任</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了ISO14001环境管理体系、ISO45001职业健康安全管理，并导入了卓越绩效管理模式，公司每年系统地识别和评估产品、服务和运营对质量安全、环境保护、能源节约和资源综合利用以及公共卫生等方面的影响，并制定预防、控制和改进措施。</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一直以来公司注重“产品质量、环境保护、能源资源利用、安全生产”等工作的推进，通过严格生产过程、环境保护和危险源识别等各环节的管控，有效促进了公司产品质量的提高、生产安全的保障、节能降耗的实现和行业竞争力的提升。</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环境保护、节能降耗、安全生产、职业健康等方面的控制/改进措施见表4。</w:t>
      </w:r>
    </w:p>
    <w:p>
      <w:pPr>
        <w:adjustRightInd w:val="0"/>
        <w:snapToGrid w:val="0"/>
        <w:jc w:val="center"/>
        <w:rPr>
          <w:rFonts w:ascii="宋体" w:hAnsi="宋体" w:eastAsia="宋体" w:cs="宋体"/>
          <w:b/>
          <w:sz w:val="24"/>
          <w:szCs w:val="28"/>
        </w:rPr>
      </w:pPr>
      <w:r>
        <w:rPr>
          <w:rFonts w:hint="eastAsia" w:ascii="宋体" w:hAnsi="宋体" w:eastAsia="宋体" w:cs="宋体"/>
          <w:b/>
          <w:sz w:val="24"/>
          <w:szCs w:val="28"/>
        </w:rPr>
        <w:t>表4 公共责任方面的控制和改进措施</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62"/>
        <w:gridCol w:w="2125"/>
        <w:gridCol w:w="1700"/>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617" w:type="pct"/>
            <w:shd w:val="clear" w:color="auto" w:fill="538135"/>
            <w:tcMar>
              <w:left w:w="28" w:type="dxa"/>
              <w:right w:w="28" w:type="dxa"/>
            </w:tcMar>
            <w:vAlign w:val="center"/>
          </w:tcPr>
          <w:p>
            <w:pPr>
              <w:widowControl/>
              <w:spacing w:line="300" w:lineRule="auto"/>
              <w:jc w:val="center"/>
              <w:rPr>
                <w:rFonts w:ascii="宋体" w:hAnsi="宋体"/>
                <w:b/>
                <w:bCs/>
                <w:color w:val="FFFFFF"/>
                <w:spacing w:val="-2"/>
                <w:szCs w:val="21"/>
              </w:rPr>
            </w:pPr>
            <w:r>
              <w:rPr>
                <w:rFonts w:ascii="宋体" w:hAnsi="宋体"/>
                <w:b/>
                <w:bCs/>
                <w:color w:val="FFFFFF"/>
                <w:spacing w:val="-2"/>
                <w:szCs w:val="21"/>
              </w:rPr>
              <w:t>控制项目</w:t>
            </w:r>
          </w:p>
        </w:tc>
        <w:tc>
          <w:tcPr>
            <w:tcW w:w="830" w:type="pct"/>
            <w:shd w:val="clear" w:color="auto" w:fill="538135"/>
            <w:tcMar>
              <w:left w:w="28" w:type="dxa"/>
              <w:right w:w="28" w:type="dxa"/>
            </w:tcMar>
            <w:vAlign w:val="center"/>
          </w:tcPr>
          <w:p>
            <w:pPr>
              <w:ind w:right="-20"/>
              <w:jc w:val="center"/>
              <w:rPr>
                <w:rFonts w:ascii="宋体" w:hAnsi="宋体"/>
                <w:b/>
                <w:bCs/>
                <w:color w:val="FFFFFF"/>
                <w:spacing w:val="-2"/>
                <w:szCs w:val="21"/>
              </w:rPr>
            </w:pPr>
            <w:r>
              <w:rPr>
                <w:rFonts w:hint="eastAsia" w:ascii="宋体" w:hAnsi="宋体"/>
                <w:b/>
                <w:bCs/>
                <w:color w:val="FFFFFF"/>
                <w:spacing w:val="-2"/>
                <w:szCs w:val="21"/>
              </w:rPr>
              <w:t>相关风险</w:t>
            </w:r>
          </w:p>
        </w:tc>
        <w:tc>
          <w:tcPr>
            <w:tcW w:w="1129" w:type="pct"/>
            <w:shd w:val="clear" w:color="auto" w:fill="538135"/>
            <w:vAlign w:val="center"/>
          </w:tcPr>
          <w:p>
            <w:pPr>
              <w:ind w:right="-20"/>
              <w:jc w:val="center"/>
              <w:rPr>
                <w:rFonts w:ascii="宋体" w:hAnsi="宋体"/>
                <w:b/>
                <w:bCs/>
                <w:color w:val="FFFFFF"/>
                <w:spacing w:val="-2"/>
                <w:szCs w:val="21"/>
              </w:rPr>
            </w:pPr>
            <w:r>
              <w:rPr>
                <w:rFonts w:hint="eastAsia" w:ascii="宋体" w:hAnsi="宋体"/>
                <w:b/>
                <w:bCs/>
                <w:color w:val="FFFFFF"/>
                <w:spacing w:val="-2"/>
                <w:szCs w:val="21"/>
              </w:rPr>
              <w:t>内控指标和目标</w:t>
            </w:r>
          </w:p>
        </w:tc>
        <w:tc>
          <w:tcPr>
            <w:tcW w:w="903" w:type="pct"/>
            <w:shd w:val="clear" w:color="auto" w:fill="538135"/>
            <w:vAlign w:val="center"/>
          </w:tcPr>
          <w:p>
            <w:pPr>
              <w:ind w:right="-20"/>
              <w:jc w:val="center"/>
              <w:rPr>
                <w:rFonts w:ascii="宋体" w:hAnsi="宋体"/>
                <w:b/>
                <w:bCs/>
                <w:color w:val="FFFFFF"/>
                <w:spacing w:val="-2"/>
                <w:szCs w:val="21"/>
              </w:rPr>
            </w:pPr>
            <w:r>
              <w:rPr>
                <w:rFonts w:hint="eastAsia" w:ascii="宋体" w:hAnsi="宋体"/>
                <w:b/>
                <w:bCs/>
                <w:color w:val="FFFFFF"/>
                <w:spacing w:val="-2"/>
                <w:szCs w:val="21"/>
              </w:rPr>
              <w:t>测量方法</w:t>
            </w:r>
          </w:p>
        </w:tc>
        <w:tc>
          <w:tcPr>
            <w:tcW w:w="1520" w:type="pct"/>
            <w:shd w:val="clear" w:color="auto" w:fill="538135"/>
            <w:tcMar>
              <w:left w:w="28" w:type="dxa"/>
              <w:right w:w="28" w:type="dxa"/>
            </w:tcMar>
            <w:vAlign w:val="center"/>
          </w:tcPr>
          <w:p>
            <w:pPr>
              <w:ind w:right="-20"/>
              <w:jc w:val="center"/>
              <w:rPr>
                <w:rFonts w:ascii="宋体" w:hAnsi="宋体"/>
                <w:b/>
                <w:bCs/>
                <w:color w:val="FFFFFF"/>
                <w:spacing w:val="-2"/>
                <w:szCs w:val="21"/>
              </w:rPr>
            </w:pPr>
            <w:r>
              <w:rPr>
                <w:rFonts w:hint="eastAsia" w:ascii="宋体" w:hAnsi="宋体"/>
                <w:b/>
                <w:bCs/>
                <w:color w:val="FFFFFF"/>
                <w:spacing w:val="-2"/>
                <w:szCs w:val="21"/>
              </w:rPr>
              <w:t>控制过程及措施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17" w:type="pct"/>
            <w:tcMar>
              <w:left w:w="28" w:type="dxa"/>
              <w:right w:w="28" w:type="dxa"/>
            </w:tcMar>
            <w:vAlign w:val="center"/>
          </w:tcPr>
          <w:p>
            <w:pPr>
              <w:widowControl/>
              <w:jc w:val="center"/>
              <w:rPr>
                <w:rFonts w:ascii="宋体" w:hAnsi="宋体" w:cs="宋体"/>
                <w:spacing w:val="-2"/>
                <w:szCs w:val="21"/>
              </w:rPr>
            </w:pPr>
            <w:r>
              <w:rPr>
                <w:rFonts w:hint="eastAsia" w:ascii="宋体" w:hAnsi="宋体" w:cs="宋体"/>
                <w:spacing w:val="-2"/>
                <w:szCs w:val="21"/>
              </w:rPr>
              <w:t>产品和质量安全</w:t>
            </w:r>
          </w:p>
        </w:tc>
        <w:tc>
          <w:tcPr>
            <w:tcW w:w="830" w:type="pct"/>
            <w:tcMar>
              <w:left w:w="28" w:type="dxa"/>
              <w:right w:w="28" w:type="dxa"/>
            </w:tcMar>
            <w:vAlign w:val="center"/>
          </w:tcPr>
          <w:p>
            <w:pPr>
              <w:widowControl/>
              <w:jc w:val="center"/>
              <w:rPr>
                <w:rFonts w:ascii="宋体" w:hAnsi="宋体" w:cs="宋体"/>
                <w:spacing w:val="-2"/>
                <w:szCs w:val="21"/>
              </w:rPr>
            </w:pPr>
            <w:r>
              <w:rPr>
                <w:rFonts w:hint="eastAsia" w:ascii="宋体" w:hAnsi="宋体" w:cs="宋体"/>
                <w:spacing w:val="-2"/>
                <w:szCs w:val="21"/>
              </w:rPr>
              <w:t>因质量缺陷导致不合格品召回</w:t>
            </w:r>
          </w:p>
        </w:tc>
        <w:tc>
          <w:tcPr>
            <w:tcW w:w="1129" w:type="pct"/>
            <w:vAlign w:val="center"/>
          </w:tcPr>
          <w:p>
            <w:pPr>
              <w:ind w:right="53"/>
              <w:jc w:val="center"/>
              <w:rPr>
                <w:rFonts w:ascii="宋体" w:hAnsi="宋体" w:cs="宋体"/>
                <w:spacing w:val="-2"/>
                <w:szCs w:val="21"/>
              </w:rPr>
            </w:pPr>
            <w:r>
              <w:rPr>
                <w:rFonts w:hint="eastAsia" w:ascii="宋体" w:hAnsi="宋体" w:cs="宋体"/>
                <w:spacing w:val="-2"/>
                <w:szCs w:val="21"/>
              </w:rPr>
              <w:t>按相应的国家标准或企业标准</w:t>
            </w:r>
          </w:p>
        </w:tc>
        <w:tc>
          <w:tcPr>
            <w:tcW w:w="903" w:type="pct"/>
            <w:vAlign w:val="center"/>
          </w:tcPr>
          <w:p>
            <w:pPr>
              <w:ind w:right="27"/>
              <w:jc w:val="center"/>
              <w:rPr>
                <w:rFonts w:ascii="宋体" w:hAnsi="宋体" w:cs="宋体"/>
                <w:spacing w:val="-2"/>
                <w:szCs w:val="21"/>
              </w:rPr>
            </w:pPr>
            <w:r>
              <w:rPr>
                <w:rFonts w:hint="eastAsia" w:ascii="宋体" w:hAnsi="宋体" w:cs="宋体"/>
                <w:spacing w:val="-2"/>
                <w:szCs w:val="21"/>
              </w:rPr>
              <w:t>公司内部监测、委外监测</w:t>
            </w:r>
          </w:p>
        </w:tc>
        <w:tc>
          <w:tcPr>
            <w:tcW w:w="1520" w:type="pct"/>
            <w:tcMar>
              <w:left w:w="28" w:type="dxa"/>
              <w:right w:w="28" w:type="dxa"/>
            </w:tcMar>
            <w:vAlign w:val="center"/>
          </w:tcPr>
          <w:p>
            <w:pPr>
              <w:ind w:right="-20"/>
              <w:jc w:val="left"/>
              <w:rPr>
                <w:rFonts w:ascii="宋体" w:hAnsi="宋体" w:cs="宋体"/>
                <w:spacing w:val="-2"/>
                <w:szCs w:val="21"/>
              </w:rPr>
            </w:pPr>
            <w:r>
              <w:rPr>
                <w:rFonts w:hint="eastAsia" w:ascii="宋体" w:hAnsi="宋体" w:cs="宋体"/>
                <w:spacing w:val="-2"/>
                <w:szCs w:val="21"/>
              </w:rPr>
              <w:t>1.按</w:t>
            </w:r>
            <w:r>
              <w:rPr>
                <w:rFonts w:ascii="宋体" w:hAnsi="宋体" w:cs="宋体"/>
                <w:spacing w:val="-2"/>
                <w:szCs w:val="21"/>
              </w:rPr>
              <w:t>ISO 9001</w:t>
            </w:r>
            <w:r>
              <w:rPr>
                <w:rFonts w:hint="eastAsia" w:ascii="宋体" w:hAnsi="宋体" w:cs="宋体"/>
                <w:spacing w:val="-2"/>
                <w:szCs w:val="21"/>
              </w:rPr>
              <w:t>体系管理；</w:t>
            </w:r>
          </w:p>
          <w:p>
            <w:pPr>
              <w:spacing w:before="13"/>
              <w:ind w:right="-20"/>
              <w:jc w:val="left"/>
              <w:rPr>
                <w:rFonts w:ascii="宋体" w:hAnsi="宋体" w:cs="宋体"/>
                <w:spacing w:val="-2"/>
                <w:szCs w:val="21"/>
              </w:rPr>
            </w:pPr>
            <w:r>
              <w:rPr>
                <w:rFonts w:hint="eastAsia" w:ascii="宋体" w:hAnsi="宋体" w:cs="宋体"/>
                <w:spacing w:val="-2"/>
                <w:szCs w:val="21"/>
              </w:rPr>
              <w:t>2.制定文件控制实施SOP；</w:t>
            </w:r>
          </w:p>
          <w:p>
            <w:pPr>
              <w:spacing w:before="13"/>
              <w:ind w:right="-20"/>
              <w:jc w:val="left"/>
              <w:rPr>
                <w:rFonts w:ascii="宋体" w:hAnsi="宋体" w:cs="宋体"/>
                <w:spacing w:val="-2"/>
                <w:szCs w:val="21"/>
              </w:rPr>
            </w:pPr>
            <w:r>
              <w:rPr>
                <w:rFonts w:hint="eastAsia" w:ascii="宋体" w:hAnsi="宋体" w:cs="宋体"/>
                <w:spacing w:val="-2"/>
                <w:szCs w:val="21"/>
              </w:rPr>
              <w:t>3.监测材料及产品；</w:t>
            </w:r>
          </w:p>
          <w:p>
            <w:pPr>
              <w:widowControl/>
              <w:jc w:val="left"/>
              <w:rPr>
                <w:rFonts w:ascii="宋体" w:hAnsi="宋体" w:cs="宋体"/>
                <w:spacing w:val="-2"/>
                <w:szCs w:val="21"/>
              </w:rPr>
            </w:pPr>
            <w:r>
              <w:rPr>
                <w:rFonts w:hint="eastAsia" w:ascii="宋体" w:hAnsi="宋体" w:cs="宋体"/>
                <w:spacing w:val="-2"/>
                <w:szCs w:val="21"/>
              </w:rPr>
              <w:t>4.严苛的产品认证和质量监控。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7" w:type="pct"/>
            <w:tcMar>
              <w:left w:w="28" w:type="dxa"/>
              <w:right w:w="28" w:type="dxa"/>
            </w:tcMar>
            <w:vAlign w:val="center"/>
          </w:tcPr>
          <w:p>
            <w:pPr>
              <w:ind w:right="-20"/>
              <w:jc w:val="center"/>
              <w:rPr>
                <w:rFonts w:ascii="宋体" w:hAnsi="宋体" w:cs="宋体"/>
                <w:spacing w:val="-2"/>
                <w:szCs w:val="21"/>
              </w:rPr>
            </w:pPr>
            <w:r>
              <w:rPr>
                <w:rFonts w:hint="eastAsia" w:ascii="宋体" w:hAnsi="宋体" w:cs="宋体"/>
                <w:spacing w:val="-2"/>
                <w:szCs w:val="21"/>
              </w:rPr>
              <w:t>环境保护</w:t>
            </w:r>
          </w:p>
        </w:tc>
        <w:tc>
          <w:tcPr>
            <w:tcW w:w="830" w:type="pct"/>
            <w:tcMar>
              <w:left w:w="28" w:type="dxa"/>
              <w:right w:w="28" w:type="dxa"/>
            </w:tcMar>
            <w:vAlign w:val="center"/>
          </w:tcPr>
          <w:p>
            <w:pPr>
              <w:spacing w:before="42"/>
              <w:ind w:right="63"/>
              <w:jc w:val="center"/>
              <w:rPr>
                <w:rFonts w:ascii="宋体" w:hAnsi="宋体" w:cs="宋体"/>
                <w:spacing w:val="-2"/>
                <w:szCs w:val="21"/>
              </w:rPr>
            </w:pPr>
            <w:r>
              <w:rPr>
                <w:rFonts w:hint="eastAsia" w:ascii="宋体" w:hAnsi="宋体" w:cs="宋体"/>
                <w:spacing w:val="-2"/>
                <w:szCs w:val="21"/>
              </w:rPr>
              <w:t>污水、粉尘、噪声、废物等造成环境污染、干扰居民生活</w:t>
            </w:r>
          </w:p>
        </w:tc>
        <w:tc>
          <w:tcPr>
            <w:tcW w:w="1129" w:type="pct"/>
            <w:vAlign w:val="center"/>
          </w:tcPr>
          <w:p>
            <w:pPr>
              <w:ind w:right="-93"/>
              <w:jc w:val="center"/>
              <w:rPr>
                <w:rFonts w:ascii="宋体" w:hAnsi="宋体" w:cs="宋体"/>
                <w:spacing w:val="-2"/>
                <w:szCs w:val="21"/>
              </w:rPr>
            </w:pPr>
            <w:r>
              <w:rPr>
                <w:rFonts w:hint="eastAsia" w:ascii="宋体" w:hAnsi="宋体" w:cs="宋体"/>
                <w:spacing w:val="-2"/>
                <w:szCs w:val="21"/>
              </w:rPr>
              <w:t>执行相应的国家标准；废物管理：分类管理、妥善处置</w:t>
            </w:r>
          </w:p>
        </w:tc>
        <w:tc>
          <w:tcPr>
            <w:tcW w:w="903" w:type="pct"/>
            <w:vAlign w:val="center"/>
          </w:tcPr>
          <w:p>
            <w:pPr>
              <w:ind w:right="-18"/>
              <w:jc w:val="center"/>
              <w:rPr>
                <w:rFonts w:ascii="宋体" w:hAnsi="宋体" w:cs="宋体"/>
                <w:spacing w:val="-2"/>
                <w:szCs w:val="21"/>
              </w:rPr>
            </w:pPr>
            <w:r>
              <w:rPr>
                <w:rFonts w:hint="eastAsia" w:ascii="宋体" w:hAnsi="宋体" w:cs="宋体"/>
                <w:spacing w:val="-2"/>
                <w:szCs w:val="21"/>
              </w:rPr>
              <w:t>公司内部测量、环境监测部门</w:t>
            </w:r>
          </w:p>
          <w:p>
            <w:pPr>
              <w:ind w:right="-18"/>
              <w:jc w:val="center"/>
              <w:rPr>
                <w:rFonts w:ascii="宋体" w:hAnsi="宋体" w:cs="宋体"/>
                <w:spacing w:val="-2"/>
                <w:szCs w:val="21"/>
              </w:rPr>
            </w:pPr>
            <w:r>
              <w:rPr>
                <w:rFonts w:hint="eastAsia" w:ascii="宋体" w:hAnsi="宋体" w:cs="宋体"/>
                <w:spacing w:val="-2"/>
                <w:szCs w:val="21"/>
              </w:rPr>
              <w:t>测量</w:t>
            </w:r>
          </w:p>
        </w:tc>
        <w:tc>
          <w:tcPr>
            <w:tcW w:w="1520" w:type="pct"/>
            <w:tcMar>
              <w:left w:w="28" w:type="dxa"/>
              <w:right w:w="28" w:type="dxa"/>
            </w:tcMar>
            <w:vAlign w:val="center"/>
          </w:tcPr>
          <w:p>
            <w:pPr>
              <w:spacing w:before="53"/>
              <w:ind w:right="-20"/>
              <w:jc w:val="left"/>
              <w:rPr>
                <w:rFonts w:ascii="宋体" w:hAnsi="宋体" w:cs="宋体"/>
                <w:spacing w:val="-2"/>
                <w:szCs w:val="21"/>
              </w:rPr>
            </w:pPr>
            <w:r>
              <w:rPr>
                <w:rFonts w:hint="eastAsia" w:ascii="宋体" w:hAnsi="宋体" w:cs="宋体"/>
                <w:spacing w:val="-2"/>
                <w:szCs w:val="21"/>
              </w:rPr>
              <w:t>1.制定文件控制；</w:t>
            </w:r>
          </w:p>
          <w:p>
            <w:pPr>
              <w:spacing w:before="13"/>
              <w:ind w:right="-20"/>
              <w:jc w:val="left"/>
              <w:rPr>
                <w:rFonts w:ascii="宋体" w:hAnsi="宋体" w:cs="宋体"/>
                <w:spacing w:val="-2"/>
                <w:szCs w:val="21"/>
              </w:rPr>
            </w:pPr>
            <w:r>
              <w:rPr>
                <w:rFonts w:hint="eastAsia" w:ascii="宋体" w:hAnsi="宋体" w:cs="宋体"/>
                <w:spacing w:val="-2"/>
                <w:szCs w:val="21"/>
              </w:rPr>
              <w:t>2.按环境管理体系标准管理；</w:t>
            </w:r>
          </w:p>
          <w:p>
            <w:pPr>
              <w:spacing w:before="13"/>
              <w:ind w:right="-20"/>
              <w:jc w:val="left"/>
              <w:rPr>
                <w:rFonts w:ascii="宋体" w:hAnsi="宋体" w:cs="宋体"/>
                <w:spacing w:val="-2"/>
                <w:szCs w:val="21"/>
              </w:rPr>
            </w:pPr>
            <w:r>
              <w:rPr>
                <w:rFonts w:hint="eastAsia" w:ascii="宋体" w:hAnsi="宋体" w:cs="宋体"/>
                <w:spacing w:val="-2"/>
                <w:szCs w:val="21"/>
              </w:rPr>
              <w:t>3.环境影响评价；</w:t>
            </w:r>
          </w:p>
          <w:p>
            <w:pPr>
              <w:spacing w:before="13"/>
              <w:ind w:right="-20"/>
              <w:jc w:val="left"/>
              <w:rPr>
                <w:rFonts w:ascii="宋体" w:hAnsi="宋体" w:cs="宋体"/>
                <w:spacing w:val="-2"/>
                <w:szCs w:val="21"/>
              </w:rPr>
            </w:pPr>
            <w:r>
              <w:rPr>
                <w:rFonts w:hint="eastAsia" w:ascii="宋体" w:hAnsi="宋体" w:cs="宋体"/>
                <w:spacing w:val="-2"/>
                <w:szCs w:val="21"/>
              </w:rPr>
              <w:t>4.建立处理设施减少废气排放。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7" w:type="pct"/>
            <w:tcMar>
              <w:left w:w="28" w:type="dxa"/>
              <w:right w:w="28" w:type="dxa"/>
            </w:tcMar>
            <w:vAlign w:val="center"/>
          </w:tcPr>
          <w:p>
            <w:pPr>
              <w:ind w:right="66"/>
              <w:jc w:val="center"/>
              <w:rPr>
                <w:rFonts w:ascii="宋体" w:hAnsi="宋体" w:cs="宋体"/>
                <w:spacing w:val="-2"/>
                <w:szCs w:val="21"/>
              </w:rPr>
            </w:pPr>
            <w:r>
              <w:rPr>
                <w:rFonts w:hint="eastAsia" w:ascii="宋体" w:hAnsi="宋体" w:cs="宋体"/>
                <w:spacing w:val="-2"/>
                <w:szCs w:val="21"/>
              </w:rPr>
              <w:t>节能和资源综合利用</w:t>
            </w:r>
          </w:p>
        </w:tc>
        <w:tc>
          <w:tcPr>
            <w:tcW w:w="830" w:type="pct"/>
            <w:tcMar>
              <w:left w:w="28" w:type="dxa"/>
              <w:right w:w="28" w:type="dxa"/>
            </w:tcMar>
            <w:vAlign w:val="center"/>
          </w:tcPr>
          <w:p>
            <w:pPr>
              <w:ind w:right="63"/>
              <w:jc w:val="center"/>
              <w:rPr>
                <w:rFonts w:ascii="宋体" w:hAnsi="宋体" w:cs="宋体"/>
                <w:spacing w:val="-2"/>
                <w:szCs w:val="21"/>
              </w:rPr>
            </w:pPr>
            <w:r>
              <w:rPr>
                <w:rFonts w:hint="eastAsia" w:ascii="宋体" w:hAnsi="宋体" w:cs="宋体"/>
                <w:spacing w:val="-2"/>
                <w:szCs w:val="21"/>
              </w:rPr>
              <w:t>油、电、水等消耗，浪费能源和资源</w:t>
            </w:r>
          </w:p>
        </w:tc>
        <w:tc>
          <w:tcPr>
            <w:tcW w:w="1129" w:type="pct"/>
            <w:vAlign w:val="center"/>
          </w:tcPr>
          <w:p>
            <w:pPr>
              <w:ind w:right="53"/>
              <w:jc w:val="center"/>
              <w:rPr>
                <w:rFonts w:ascii="宋体" w:hAnsi="宋体" w:cs="宋体"/>
                <w:spacing w:val="-2"/>
                <w:szCs w:val="21"/>
              </w:rPr>
            </w:pPr>
            <w:r>
              <w:rPr>
                <w:rFonts w:hint="eastAsia" w:ascii="宋体" w:hAnsi="宋体" w:cs="宋体"/>
                <w:spacing w:val="-2"/>
                <w:szCs w:val="21"/>
              </w:rPr>
              <w:t>按年度公司节能降耗目标指标</w:t>
            </w:r>
          </w:p>
        </w:tc>
        <w:tc>
          <w:tcPr>
            <w:tcW w:w="903" w:type="pct"/>
            <w:vAlign w:val="center"/>
          </w:tcPr>
          <w:p>
            <w:pPr>
              <w:ind w:right="-20"/>
              <w:jc w:val="center"/>
              <w:rPr>
                <w:rFonts w:ascii="宋体" w:hAnsi="宋体" w:cs="宋体"/>
                <w:spacing w:val="-2"/>
                <w:szCs w:val="21"/>
              </w:rPr>
            </w:pPr>
            <w:r>
              <w:rPr>
                <w:rFonts w:hint="eastAsia" w:ascii="宋体" w:hAnsi="宋体" w:cs="宋体"/>
                <w:spacing w:val="-2"/>
                <w:szCs w:val="21"/>
              </w:rPr>
              <w:t>统计与分析</w:t>
            </w:r>
          </w:p>
        </w:tc>
        <w:tc>
          <w:tcPr>
            <w:tcW w:w="1520" w:type="pct"/>
            <w:tcMar>
              <w:left w:w="28" w:type="dxa"/>
              <w:right w:w="28" w:type="dxa"/>
            </w:tcMar>
            <w:vAlign w:val="center"/>
          </w:tcPr>
          <w:p>
            <w:pPr>
              <w:spacing w:before="40"/>
              <w:ind w:right="-52"/>
              <w:jc w:val="left"/>
              <w:rPr>
                <w:rFonts w:ascii="宋体" w:hAnsi="宋体" w:cs="宋体"/>
                <w:spacing w:val="-2"/>
                <w:szCs w:val="21"/>
              </w:rPr>
            </w:pPr>
            <w:r>
              <w:rPr>
                <w:rFonts w:hint="eastAsia" w:ascii="宋体" w:hAnsi="宋体" w:cs="宋体"/>
                <w:spacing w:val="-2"/>
                <w:szCs w:val="21"/>
              </w:rPr>
              <w:t>1.推广利用节能新技术、新工艺、主体厂房更换节能灯；</w:t>
            </w:r>
          </w:p>
          <w:p>
            <w:pPr>
              <w:spacing w:before="6"/>
              <w:ind w:right="-20"/>
              <w:jc w:val="left"/>
              <w:rPr>
                <w:rFonts w:ascii="宋体" w:hAnsi="宋体" w:cs="宋体"/>
                <w:spacing w:val="-2"/>
                <w:szCs w:val="21"/>
              </w:rPr>
            </w:pPr>
            <w:r>
              <w:rPr>
                <w:rFonts w:hint="eastAsia" w:ascii="宋体" w:hAnsi="宋体" w:cs="宋体"/>
                <w:spacing w:val="-2"/>
                <w:szCs w:val="21"/>
              </w:rPr>
              <w:t>2.建立企业循环水再利用系统；</w:t>
            </w:r>
          </w:p>
          <w:p>
            <w:pPr>
              <w:spacing w:before="13"/>
              <w:ind w:right="-20"/>
              <w:jc w:val="left"/>
              <w:rPr>
                <w:rFonts w:ascii="宋体" w:hAnsi="宋体" w:cs="宋体"/>
                <w:spacing w:val="-2"/>
                <w:szCs w:val="21"/>
              </w:rPr>
            </w:pPr>
            <w:r>
              <w:rPr>
                <w:rFonts w:hint="eastAsia" w:ascii="宋体" w:hAnsi="宋体" w:cs="宋体"/>
                <w:spacing w:val="-2"/>
                <w:szCs w:val="21"/>
              </w:rPr>
              <w:t>3.开展降低电力耗能的攻关。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7" w:type="pct"/>
            <w:tcMar>
              <w:left w:w="28" w:type="dxa"/>
              <w:right w:w="28" w:type="dxa"/>
            </w:tcMar>
            <w:vAlign w:val="center"/>
          </w:tcPr>
          <w:p>
            <w:pPr>
              <w:ind w:right="-20"/>
              <w:jc w:val="center"/>
              <w:rPr>
                <w:rFonts w:ascii="宋体" w:hAnsi="宋体" w:cs="宋体"/>
                <w:spacing w:val="-2"/>
                <w:szCs w:val="21"/>
              </w:rPr>
            </w:pPr>
            <w:r>
              <w:rPr>
                <w:rFonts w:hint="eastAsia" w:ascii="宋体" w:hAnsi="宋体" w:cs="宋体"/>
                <w:spacing w:val="-2"/>
                <w:szCs w:val="21"/>
              </w:rPr>
              <w:t>公共卫生</w:t>
            </w:r>
          </w:p>
        </w:tc>
        <w:tc>
          <w:tcPr>
            <w:tcW w:w="830" w:type="pct"/>
            <w:tcMar>
              <w:left w:w="28" w:type="dxa"/>
              <w:right w:w="28" w:type="dxa"/>
            </w:tcMar>
            <w:vAlign w:val="center"/>
          </w:tcPr>
          <w:p>
            <w:pPr>
              <w:ind w:right="63"/>
              <w:jc w:val="center"/>
              <w:rPr>
                <w:rFonts w:ascii="宋体" w:hAnsi="宋体" w:cs="宋体"/>
                <w:spacing w:val="-2"/>
                <w:szCs w:val="21"/>
              </w:rPr>
            </w:pPr>
            <w:r>
              <w:rPr>
                <w:rFonts w:hint="eastAsia" w:ascii="宋体" w:hAnsi="宋体" w:cs="宋体"/>
                <w:spacing w:val="-2"/>
                <w:szCs w:val="21"/>
              </w:rPr>
              <w:t>粉尘、噪声等，造成员工职业病</w:t>
            </w:r>
          </w:p>
        </w:tc>
        <w:tc>
          <w:tcPr>
            <w:tcW w:w="1129" w:type="pct"/>
            <w:vAlign w:val="center"/>
          </w:tcPr>
          <w:p>
            <w:pPr>
              <w:ind w:left="90" w:right="-20"/>
              <w:jc w:val="center"/>
              <w:rPr>
                <w:rFonts w:ascii="宋体" w:hAnsi="宋体" w:cs="宋体"/>
                <w:spacing w:val="-2"/>
                <w:szCs w:val="21"/>
              </w:rPr>
            </w:pPr>
            <w:r>
              <w:rPr>
                <w:rFonts w:hint="eastAsia" w:ascii="宋体" w:hAnsi="宋体" w:cs="宋体"/>
                <w:spacing w:val="-2"/>
                <w:szCs w:val="21"/>
              </w:rPr>
              <w:t>工业场所有害因素职业接触限值（GBZ2-2002）</w:t>
            </w:r>
          </w:p>
        </w:tc>
        <w:tc>
          <w:tcPr>
            <w:tcW w:w="903" w:type="pct"/>
            <w:vAlign w:val="center"/>
          </w:tcPr>
          <w:p>
            <w:pPr>
              <w:ind w:right="145"/>
              <w:jc w:val="center"/>
              <w:rPr>
                <w:rFonts w:ascii="宋体" w:hAnsi="宋体" w:cs="宋体"/>
                <w:spacing w:val="-2"/>
                <w:szCs w:val="21"/>
              </w:rPr>
            </w:pPr>
            <w:r>
              <w:rPr>
                <w:rFonts w:hint="eastAsia" w:ascii="宋体" w:hAnsi="宋体" w:cs="宋体"/>
                <w:spacing w:val="-2"/>
                <w:szCs w:val="21"/>
              </w:rPr>
              <w:t>政府疾病预防控制中心监测</w:t>
            </w:r>
          </w:p>
        </w:tc>
        <w:tc>
          <w:tcPr>
            <w:tcW w:w="1520" w:type="pct"/>
            <w:tcMar>
              <w:left w:w="28" w:type="dxa"/>
              <w:right w:w="28" w:type="dxa"/>
            </w:tcMar>
            <w:vAlign w:val="center"/>
          </w:tcPr>
          <w:p>
            <w:pPr>
              <w:ind w:right="-20"/>
              <w:jc w:val="left"/>
              <w:rPr>
                <w:rFonts w:ascii="宋体" w:hAnsi="宋体" w:cs="宋体"/>
                <w:spacing w:val="-2"/>
                <w:szCs w:val="21"/>
              </w:rPr>
            </w:pPr>
            <w:r>
              <w:rPr>
                <w:rFonts w:hint="eastAsia" w:ascii="宋体" w:hAnsi="宋体" w:cs="宋体"/>
                <w:spacing w:val="-2"/>
                <w:szCs w:val="21"/>
              </w:rPr>
              <w:t>1.按安全管理法规要求管控；</w:t>
            </w:r>
          </w:p>
          <w:p>
            <w:pPr>
              <w:spacing w:before="13"/>
              <w:ind w:right="-20"/>
              <w:jc w:val="left"/>
              <w:rPr>
                <w:rFonts w:ascii="宋体" w:hAnsi="宋体" w:cs="宋体"/>
                <w:spacing w:val="-2"/>
                <w:szCs w:val="21"/>
              </w:rPr>
            </w:pPr>
            <w:r>
              <w:rPr>
                <w:rFonts w:hint="eastAsia" w:ascii="宋体" w:hAnsi="宋体" w:cs="宋体"/>
                <w:spacing w:val="-2"/>
                <w:szCs w:val="21"/>
              </w:rPr>
              <w:t>2.建立健全卫生档案；</w:t>
            </w:r>
          </w:p>
          <w:p>
            <w:pPr>
              <w:spacing w:before="13"/>
              <w:ind w:right="-20"/>
              <w:jc w:val="left"/>
              <w:rPr>
                <w:rFonts w:ascii="宋体" w:hAnsi="宋体" w:cs="宋体"/>
                <w:spacing w:val="-2"/>
                <w:szCs w:val="21"/>
              </w:rPr>
            </w:pPr>
            <w:r>
              <w:rPr>
                <w:rFonts w:hint="eastAsia" w:ascii="宋体" w:hAnsi="宋体" w:cs="宋体"/>
                <w:spacing w:val="-2"/>
                <w:szCs w:val="21"/>
              </w:rPr>
              <w:t>3.开展职业病体检和普检；</w:t>
            </w:r>
          </w:p>
          <w:p>
            <w:pPr>
              <w:spacing w:before="13"/>
              <w:ind w:right="-20"/>
              <w:jc w:val="left"/>
              <w:rPr>
                <w:rFonts w:ascii="宋体" w:hAnsi="宋体" w:cs="宋体"/>
                <w:spacing w:val="-2"/>
                <w:szCs w:val="21"/>
              </w:rPr>
            </w:pPr>
            <w:r>
              <w:rPr>
                <w:rFonts w:hint="eastAsia" w:ascii="宋体" w:hAnsi="宋体" w:cs="宋体"/>
                <w:spacing w:val="-2"/>
                <w:szCs w:val="21"/>
              </w:rPr>
              <w:t>4.车间工业卫生监测。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17" w:type="pct"/>
            <w:tcMar>
              <w:left w:w="28" w:type="dxa"/>
              <w:right w:w="28" w:type="dxa"/>
            </w:tcMar>
            <w:vAlign w:val="center"/>
          </w:tcPr>
          <w:p>
            <w:pPr>
              <w:ind w:right="63"/>
              <w:jc w:val="center"/>
              <w:rPr>
                <w:rFonts w:ascii="宋体" w:hAnsi="宋体" w:cs="宋体"/>
                <w:spacing w:val="-2"/>
                <w:szCs w:val="21"/>
              </w:rPr>
            </w:pPr>
            <w:r>
              <w:rPr>
                <w:rFonts w:hint="eastAsia" w:ascii="宋体" w:hAnsi="宋体" w:cs="宋体"/>
                <w:spacing w:val="-2"/>
                <w:szCs w:val="21"/>
              </w:rPr>
              <w:t>安全生产</w:t>
            </w:r>
          </w:p>
        </w:tc>
        <w:tc>
          <w:tcPr>
            <w:tcW w:w="830" w:type="pct"/>
            <w:tcMar>
              <w:left w:w="28" w:type="dxa"/>
              <w:right w:w="28" w:type="dxa"/>
            </w:tcMar>
            <w:vAlign w:val="center"/>
          </w:tcPr>
          <w:p>
            <w:pPr>
              <w:ind w:right="63"/>
              <w:jc w:val="center"/>
              <w:rPr>
                <w:rFonts w:ascii="宋体" w:hAnsi="宋体" w:cs="宋体"/>
                <w:spacing w:val="-2"/>
                <w:szCs w:val="21"/>
              </w:rPr>
            </w:pPr>
            <w:r>
              <w:rPr>
                <w:rFonts w:hint="eastAsia" w:ascii="宋体" w:hAnsi="宋体" w:cs="宋体"/>
                <w:spacing w:val="-2"/>
                <w:szCs w:val="21"/>
              </w:rPr>
              <w:t>机械伤害、搬运伤害、触电、火灾、中毒等，造成员工伤亡</w:t>
            </w:r>
          </w:p>
        </w:tc>
        <w:tc>
          <w:tcPr>
            <w:tcW w:w="1129" w:type="pct"/>
            <w:vAlign w:val="center"/>
          </w:tcPr>
          <w:p>
            <w:pPr>
              <w:ind w:right="53"/>
              <w:jc w:val="center"/>
              <w:rPr>
                <w:rFonts w:ascii="宋体" w:hAnsi="宋体" w:cs="宋体"/>
                <w:spacing w:val="-2"/>
                <w:szCs w:val="21"/>
              </w:rPr>
            </w:pPr>
            <w:r>
              <w:rPr>
                <w:rFonts w:hint="eastAsia" w:ascii="宋体" w:hAnsi="宋体" w:cs="宋体"/>
                <w:spacing w:val="-2"/>
                <w:szCs w:val="21"/>
              </w:rPr>
              <w:t>工亡、重伤、重大火灾为零；</w:t>
            </w:r>
          </w:p>
          <w:p>
            <w:pPr>
              <w:ind w:right="53"/>
              <w:jc w:val="center"/>
              <w:rPr>
                <w:rFonts w:ascii="宋体" w:hAnsi="宋体" w:cs="宋体"/>
                <w:spacing w:val="-2"/>
                <w:szCs w:val="21"/>
              </w:rPr>
            </w:pPr>
            <w:r>
              <w:rPr>
                <w:rFonts w:hint="eastAsia" w:ascii="宋体" w:hAnsi="宋体" w:cs="宋体"/>
                <w:spacing w:val="-2"/>
                <w:szCs w:val="21"/>
              </w:rPr>
              <w:t>一般轻伤≤3%</w:t>
            </w:r>
          </w:p>
        </w:tc>
        <w:tc>
          <w:tcPr>
            <w:tcW w:w="903" w:type="pct"/>
            <w:vAlign w:val="center"/>
          </w:tcPr>
          <w:p>
            <w:pPr>
              <w:ind w:right="191"/>
              <w:jc w:val="center"/>
              <w:rPr>
                <w:rFonts w:ascii="宋体" w:hAnsi="宋体" w:cs="宋体"/>
                <w:spacing w:val="-2"/>
                <w:szCs w:val="21"/>
              </w:rPr>
            </w:pPr>
            <w:r>
              <w:rPr>
                <w:rFonts w:hint="eastAsia" w:ascii="宋体" w:hAnsi="宋体" w:cs="宋体"/>
                <w:spacing w:val="-2"/>
                <w:szCs w:val="21"/>
              </w:rPr>
              <w:t>安全性评价定期检查</w:t>
            </w:r>
          </w:p>
        </w:tc>
        <w:tc>
          <w:tcPr>
            <w:tcW w:w="1520" w:type="pct"/>
            <w:tcMar>
              <w:left w:w="28" w:type="dxa"/>
              <w:right w:w="28" w:type="dxa"/>
            </w:tcMar>
            <w:vAlign w:val="center"/>
          </w:tcPr>
          <w:p>
            <w:pPr>
              <w:ind w:right="-20"/>
              <w:jc w:val="left"/>
              <w:rPr>
                <w:rFonts w:ascii="宋体" w:hAnsi="宋体" w:cs="宋体"/>
                <w:spacing w:val="-2"/>
                <w:szCs w:val="21"/>
              </w:rPr>
            </w:pPr>
            <w:r>
              <w:rPr>
                <w:rFonts w:hint="eastAsia" w:ascii="宋体" w:hAnsi="宋体" w:cs="宋体"/>
                <w:spacing w:val="-2"/>
                <w:szCs w:val="21"/>
              </w:rPr>
              <w:t>1.配备消防设施；</w:t>
            </w:r>
          </w:p>
          <w:p>
            <w:pPr>
              <w:spacing w:before="13"/>
              <w:ind w:right="-20"/>
              <w:jc w:val="left"/>
              <w:rPr>
                <w:rFonts w:ascii="宋体" w:hAnsi="宋体" w:cs="宋体"/>
                <w:spacing w:val="-2"/>
                <w:szCs w:val="21"/>
              </w:rPr>
            </w:pPr>
            <w:r>
              <w:rPr>
                <w:rFonts w:hint="eastAsia" w:ascii="宋体" w:hAnsi="宋体" w:cs="宋体"/>
                <w:spacing w:val="-2"/>
                <w:szCs w:val="21"/>
              </w:rPr>
              <w:t>2.执行安全“三同时”；</w:t>
            </w:r>
          </w:p>
          <w:p>
            <w:pPr>
              <w:spacing w:before="13"/>
              <w:ind w:right="-20"/>
              <w:jc w:val="left"/>
              <w:rPr>
                <w:rFonts w:ascii="宋体" w:hAnsi="宋体" w:cs="宋体"/>
                <w:spacing w:val="-2"/>
                <w:szCs w:val="21"/>
              </w:rPr>
            </w:pPr>
            <w:r>
              <w:rPr>
                <w:rFonts w:hint="eastAsia" w:ascii="宋体" w:hAnsi="宋体" w:cs="宋体"/>
                <w:spacing w:val="-2"/>
                <w:szCs w:val="21"/>
              </w:rPr>
              <w:t>3.签订安全管理责任状；</w:t>
            </w:r>
          </w:p>
          <w:p>
            <w:pPr>
              <w:ind w:right="23"/>
              <w:jc w:val="left"/>
              <w:rPr>
                <w:rFonts w:ascii="宋体" w:hAnsi="宋体" w:cs="宋体"/>
                <w:spacing w:val="-2"/>
                <w:szCs w:val="21"/>
              </w:rPr>
            </w:pPr>
            <w:r>
              <w:rPr>
                <w:rFonts w:hint="eastAsia" w:ascii="宋体" w:hAnsi="宋体" w:cs="宋体"/>
                <w:spacing w:val="-2"/>
                <w:szCs w:val="21"/>
              </w:rPr>
              <w:t>4.健全危险源识别，建立公司到班组的三级安全检查机制；</w:t>
            </w:r>
          </w:p>
          <w:p>
            <w:pPr>
              <w:spacing w:before="6"/>
              <w:ind w:right="-20"/>
              <w:jc w:val="left"/>
              <w:rPr>
                <w:rFonts w:ascii="宋体" w:hAnsi="宋体" w:cs="宋体"/>
                <w:spacing w:val="-2"/>
                <w:szCs w:val="21"/>
              </w:rPr>
            </w:pPr>
            <w:r>
              <w:rPr>
                <w:rFonts w:hint="eastAsia" w:ascii="宋体" w:hAnsi="宋体" w:cs="宋体"/>
                <w:spacing w:val="-2"/>
                <w:szCs w:val="21"/>
              </w:rPr>
              <w:t>5.车间推行5S管理；</w:t>
            </w:r>
          </w:p>
          <w:p>
            <w:pPr>
              <w:spacing w:before="13"/>
              <w:ind w:right="-20"/>
              <w:jc w:val="left"/>
              <w:rPr>
                <w:rFonts w:ascii="宋体" w:hAnsi="宋体" w:cs="宋体"/>
                <w:spacing w:val="-2"/>
                <w:szCs w:val="21"/>
              </w:rPr>
            </w:pPr>
            <w:r>
              <w:rPr>
                <w:rFonts w:hint="eastAsia" w:ascii="宋体" w:hAnsi="宋体" w:cs="宋体"/>
                <w:spacing w:val="-2"/>
                <w:szCs w:val="21"/>
              </w:rPr>
              <w:t>6.强化安全生产应急演练。</w:t>
            </w:r>
          </w:p>
        </w:tc>
      </w:tr>
    </w:tbl>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政府、民众和相关方对产品安全、环境保护、安全生产的关注度日益提高，为消除外界对公司这方面的隐忧，公司积极做好应对准备。</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通过上述关注度的分析，公司确定了环境保护和安全生产隐患预案。</w:t>
      </w:r>
    </w:p>
    <w:p>
      <w:pPr>
        <w:adjustRightInd w:val="0"/>
        <w:snapToGrid w:val="0"/>
        <w:jc w:val="center"/>
        <w:rPr>
          <w:rFonts w:ascii="宋体" w:hAnsi="宋体" w:eastAsia="宋体" w:cs="宋体"/>
          <w:b/>
          <w:sz w:val="24"/>
          <w:szCs w:val="28"/>
        </w:rPr>
      </w:pPr>
      <w:r>
        <w:rPr>
          <w:rFonts w:hint="eastAsia" w:ascii="宋体" w:hAnsi="宋体" w:eastAsia="宋体" w:cs="宋体"/>
          <w:b/>
          <w:sz w:val="24"/>
          <w:szCs w:val="28"/>
        </w:rPr>
        <w:t>表5</w:t>
      </w:r>
      <w:r>
        <w:rPr>
          <w:rFonts w:ascii="宋体" w:hAnsi="宋体" w:eastAsia="宋体" w:cs="宋体"/>
          <w:b/>
          <w:sz w:val="24"/>
          <w:szCs w:val="28"/>
        </w:rPr>
        <w:t xml:space="preserve"> </w:t>
      </w:r>
      <w:r>
        <w:rPr>
          <w:rFonts w:hint="eastAsia" w:ascii="宋体" w:hAnsi="宋体" w:eastAsia="宋体" w:cs="宋体"/>
          <w:b/>
          <w:sz w:val="24"/>
          <w:szCs w:val="28"/>
        </w:rPr>
        <w:t>隐忧预见与应对</w:t>
      </w:r>
    </w:p>
    <w:tbl>
      <w:tblPr>
        <w:tblStyle w:val="1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295"/>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shd w:val="clear" w:color="auto" w:fill="538135"/>
            <w:vAlign w:val="center"/>
          </w:tcPr>
          <w:p>
            <w:pPr>
              <w:adjustRightInd w:val="0"/>
              <w:snapToGrid w:val="0"/>
              <w:jc w:val="center"/>
              <w:rPr>
                <w:rFonts w:ascii="宋体" w:hAnsi="宋体" w:eastAsia="宋体" w:cs="Times New Roman"/>
                <w:b/>
                <w:bCs/>
                <w:snapToGrid w:val="0"/>
                <w:color w:val="FFFFFF"/>
                <w:sz w:val="24"/>
              </w:rPr>
            </w:pPr>
            <w:r>
              <w:rPr>
                <w:rFonts w:hint="eastAsia" w:ascii="宋体" w:hAnsi="宋体" w:eastAsia="宋体" w:cs="宋体"/>
                <w:b/>
                <w:bCs/>
                <w:snapToGrid w:val="0"/>
                <w:color w:val="FFFFFF"/>
                <w:sz w:val="24"/>
              </w:rPr>
              <w:t>隐忧类别</w:t>
            </w:r>
          </w:p>
        </w:tc>
        <w:tc>
          <w:tcPr>
            <w:tcW w:w="2295" w:type="dxa"/>
            <w:shd w:val="clear" w:color="auto" w:fill="538135"/>
            <w:vAlign w:val="center"/>
          </w:tcPr>
          <w:p>
            <w:pPr>
              <w:adjustRightInd w:val="0"/>
              <w:snapToGrid w:val="0"/>
              <w:jc w:val="center"/>
              <w:rPr>
                <w:rFonts w:ascii="宋体" w:hAnsi="宋体" w:eastAsia="宋体" w:cs="Times New Roman"/>
                <w:b/>
                <w:bCs/>
                <w:color w:val="FFFFFF"/>
                <w:sz w:val="24"/>
              </w:rPr>
            </w:pPr>
            <w:r>
              <w:rPr>
                <w:rFonts w:hint="eastAsia" w:ascii="宋体" w:hAnsi="宋体" w:eastAsia="宋体" w:cs="宋体"/>
                <w:b/>
                <w:bCs/>
                <w:color w:val="FFFFFF"/>
                <w:sz w:val="24"/>
              </w:rPr>
              <w:t>公众隐忧</w:t>
            </w:r>
          </w:p>
        </w:tc>
        <w:tc>
          <w:tcPr>
            <w:tcW w:w="6059" w:type="dxa"/>
            <w:shd w:val="clear" w:color="auto" w:fill="538135"/>
            <w:vAlign w:val="center"/>
          </w:tcPr>
          <w:p>
            <w:pPr>
              <w:adjustRightInd w:val="0"/>
              <w:snapToGrid w:val="0"/>
              <w:jc w:val="center"/>
              <w:rPr>
                <w:rFonts w:ascii="宋体" w:hAnsi="宋体" w:eastAsia="宋体" w:cs="Times New Roman"/>
                <w:b/>
                <w:bCs/>
                <w:snapToGrid w:val="0"/>
                <w:color w:val="FFFFFF"/>
                <w:sz w:val="24"/>
              </w:rPr>
            </w:pPr>
            <w:r>
              <w:rPr>
                <w:rFonts w:hint="eastAsia" w:ascii="宋体" w:hAnsi="宋体" w:eastAsia="宋体" w:cs="宋体"/>
                <w:b/>
                <w:bCs/>
                <w:snapToGrid w:val="0"/>
                <w:color w:val="FFFFFF"/>
                <w:sz w:val="24"/>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16" w:type="dxa"/>
            <w:vMerge w:val="restart"/>
            <w:vAlign w:val="center"/>
          </w:tcPr>
          <w:p>
            <w:pPr>
              <w:adjustRightInd w:val="0"/>
              <w:snapToGrid w:val="0"/>
              <w:jc w:val="center"/>
              <w:rPr>
                <w:rFonts w:ascii="宋体" w:hAnsi="宋体" w:eastAsia="宋体" w:cs="Times New Roman"/>
                <w:snapToGrid w:val="0"/>
                <w:szCs w:val="22"/>
              </w:rPr>
            </w:pPr>
            <w:r>
              <w:rPr>
                <w:rFonts w:hint="eastAsia" w:ascii="宋体" w:hAnsi="宋体" w:eastAsia="宋体" w:cs="宋体"/>
                <w:snapToGrid w:val="0"/>
                <w:szCs w:val="22"/>
              </w:rPr>
              <w:t>环境保护</w:t>
            </w:r>
          </w:p>
        </w:tc>
        <w:tc>
          <w:tcPr>
            <w:tcW w:w="2295" w:type="dxa"/>
            <w:vAlign w:val="center"/>
          </w:tcPr>
          <w:p>
            <w:pPr>
              <w:adjustRightInd w:val="0"/>
              <w:snapToGrid w:val="0"/>
              <w:jc w:val="center"/>
              <w:rPr>
                <w:rFonts w:ascii="宋体" w:hAnsi="宋体" w:eastAsia="宋体" w:cs="Times New Roman"/>
                <w:snapToGrid w:val="0"/>
                <w:szCs w:val="22"/>
              </w:rPr>
            </w:pPr>
            <w:r>
              <w:rPr>
                <w:rFonts w:hint="eastAsia" w:ascii="宋体" w:hAnsi="宋体" w:eastAsia="宋体" w:cs="宋体"/>
                <w:snapToGrid w:val="0"/>
                <w:szCs w:val="22"/>
              </w:rPr>
              <w:t>废水</w:t>
            </w:r>
          </w:p>
        </w:tc>
        <w:tc>
          <w:tcPr>
            <w:tcW w:w="6059" w:type="dxa"/>
            <w:vAlign w:val="center"/>
          </w:tcPr>
          <w:p>
            <w:pPr>
              <w:widowControl/>
              <w:numPr>
                <w:ilvl w:val="0"/>
                <w:numId w:val="1"/>
              </w:numPr>
              <w:jc w:val="left"/>
              <w:rPr>
                <w:rFonts w:ascii="宋体" w:hAnsi="宋体" w:eastAsia="宋体" w:cs="宋体"/>
                <w:spacing w:val="-2"/>
                <w:szCs w:val="21"/>
              </w:rPr>
            </w:pPr>
            <w:r>
              <w:rPr>
                <w:rFonts w:hint="eastAsia" w:ascii="宋体" w:hAnsi="宋体" w:eastAsia="宋体" w:cs="宋体"/>
                <w:spacing w:val="-2"/>
                <w:szCs w:val="21"/>
              </w:rPr>
              <w:t>定期检查以确保水循环设施、设备的完好程度；</w:t>
            </w:r>
          </w:p>
          <w:p>
            <w:pPr>
              <w:widowControl/>
              <w:numPr>
                <w:ilvl w:val="0"/>
                <w:numId w:val="1"/>
              </w:numPr>
              <w:jc w:val="left"/>
              <w:rPr>
                <w:rFonts w:ascii="宋体" w:hAnsi="宋体" w:eastAsia="宋体" w:cs="宋体"/>
                <w:snapToGrid w:val="0"/>
                <w:spacing w:val="-2"/>
                <w:szCs w:val="21"/>
              </w:rPr>
            </w:pPr>
            <w:r>
              <w:rPr>
                <w:rFonts w:hint="eastAsia" w:ascii="宋体" w:hAnsi="宋体" w:eastAsia="宋体" w:cs="宋体"/>
                <w:spacing w:val="-2"/>
                <w:szCs w:val="21"/>
              </w:rPr>
              <w:t>获取最新污水排放和控制要求，了解公司周边区域相关方废水的排放要求。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16" w:type="dxa"/>
            <w:vMerge w:val="continue"/>
            <w:vAlign w:val="center"/>
          </w:tcPr>
          <w:p>
            <w:pPr>
              <w:adjustRightInd w:val="0"/>
              <w:snapToGrid w:val="0"/>
              <w:jc w:val="center"/>
              <w:rPr>
                <w:rFonts w:ascii="宋体" w:hAnsi="宋体" w:eastAsia="宋体" w:cs="宋体"/>
                <w:snapToGrid w:val="0"/>
                <w:szCs w:val="22"/>
              </w:rPr>
            </w:pPr>
          </w:p>
        </w:tc>
        <w:tc>
          <w:tcPr>
            <w:tcW w:w="2295" w:type="dxa"/>
            <w:vAlign w:val="center"/>
          </w:tcPr>
          <w:p>
            <w:pPr>
              <w:adjustRightInd w:val="0"/>
              <w:snapToGrid w:val="0"/>
              <w:jc w:val="center"/>
              <w:rPr>
                <w:rFonts w:ascii="宋体" w:hAnsi="宋体" w:eastAsia="宋体" w:cs="宋体"/>
                <w:snapToGrid w:val="0"/>
                <w:szCs w:val="22"/>
              </w:rPr>
            </w:pPr>
            <w:r>
              <w:rPr>
                <w:rFonts w:hint="eastAsia" w:ascii="宋体" w:hAnsi="宋体" w:eastAsia="宋体" w:cs="宋体"/>
                <w:snapToGrid w:val="0"/>
                <w:szCs w:val="22"/>
              </w:rPr>
              <w:t>废气</w:t>
            </w:r>
          </w:p>
        </w:tc>
        <w:tc>
          <w:tcPr>
            <w:tcW w:w="6059" w:type="dxa"/>
            <w:vAlign w:val="center"/>
          </w:tcPr>
          <w:p>
            <w:pPr>
              <w:widowControl/>
              <w:numPr>
                <w:ilvl w:val="0"/>
                <w:numId w:val="1"/>
              </w:numPr>
              <w:jc w:val="left"/>
              <w:rPr>
                <w:rFonts w:ascii="宋体" w:hAnsi="宋体" w:eastAsia="宋体" w:cs="宋体"/>
                <w:spacing w:val="-2"/>
                <w:szCs w:val="21"/>
              </w:rPr>
            </w:pPr>
            <w:r>
              <w:rPr>
                <w:rFonts w:hint="eastAsia" w:ascii="宋体" w:hAnsi="宋体" w:eastAsia="宋体" w:cs="宋体"/>
                <w:spacing w:val="-2"/>
                <w:szCs w:val="21"/>
              </w:rPr>
              <w:t>获取最新废气排放和控制要求，了解公司周边区域相关方废气的排放要求。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16" w:type="dxa"/>
            <w:vAlign w:val="center"/>
          </w:tcPr>
          <w:p>
            <w:pPr>
              <w:adjustRightInd w:val="0"/>
              <w:snapToGrid w:val="0"/>
              <w:jc w:val="center"/>
              <w:rPr>
                <w:rFonts w:ascii="宋体" w:hAnsi="宋体" w:eastAsia="宋体" w:cs="Times New Roman"/>
                <w:szCs w:val="22"/>
              </w:rPr>
            </w:pPr>
            <w:r>
              <w:rPr>
                <w:rFonts w:hint="eastAsia" w:ascii="宋体" w:hAnsi="宋体" w:eastAsia="宋体" w:cs="宋体"/>
                <w:szCs w:val="22"/>
              </w:rPr>
              <w:t>安全生产</w:t>
            </w:r>
          </w:p>
        </w:tc>
        <w:tc>
          <w:tcPr>
            <w:tcW w:w="2295" w:type="dxa"/>
            <w:vAlign w:val="center"/>
          </w:tcPr>
          <w:p>
            <w:pPr>
              <w:adjustRightInd w:val="0"/>
              <w:snapToGrid w:val="0"/>
              <w:jc w:val="left"/>
              <w:rPr>
                <w:rFonts w:ascii="宋体" w:hAnsi="宋体" w:eastAsia="宋体" w:cs="Times New Roman"/>
                <w:snapToGrid w:val="0"/>
                <w:szCs w:val="22"/>
              </w:rPr>
            </w:pPr>
            <w:r>
              <w:rPr>
                <w:rFonts w:hint="eastAsia" w:ascii="宋体" w:hAnsi="宋体" w:eastAsia="宋体" w:cs="宋体"/>
                <w:snapToGrid w:val="0"/>
                <w:szCs w:val="22"/>
              </w:rPr>
              <w:t>杜绝安全事故，预防职业病发生、火灾等</w:t>
            </w:r>
          </w:p>
        </w:tc>
        <w:tc>
          <w:tcPr>
            <w:tcW w:w="6059" w:type="dxa"/>
            <w:vAlign w:val="center"/>
          </w:tcPr>
          <w:p>
            <w:pPr>
              <w:widowControl/>
              <w:numPr>
                <w:ilvl w:val="0"/>
                <w:numId w:val="2"/>
              </w:numPr>
              <w:jc w:val="left"/>
              <w:rPr>
                <w:rFonts w:ascii="宋体" w:hAnsi="宋体" w:eastAsia="宋体" w:cs="Times New Roman"/>
                <w:snapToGrid w:val="0"/>
                <w:szCs w:val="21"/>
              </w:rPr>
            </w:pPr>
            <w:r>
              <w:rPr>
                <w:rFonts w:hint="eastAsia" w:ascii="宋体" w:hAnsi="宋体" w:eastAsia="宋体" w:cs="宋体"/>
                <w:snapToGrid w:val="0"/>
                <w:szCs w:val="21"/>
              </w:rPr>
              <w:t>按规定周期进行检查</w:t>
            </w:r>
          </w:p>
          <w:p>
            <w:pPr>
              <w:widowControl/>
              <w:numPr>
                <w:ilvl w:val="0"/>
                <w:numId w:val="2"/>
              </w:numPr>
              <w:jc w:val="left"/>
              <w:rPr>
                <w:rFonts w:ascii="宋体" w:hAnsi="宋体" w:eastAsia="宋体" w:cs="Times New Roman"/>
                <w:snapToGrid w:val="0"/>
                <w:szCs w:val="21"/>
              </w:rPr>
            </w:pPr>
            <w:r>
              <w:rPr>
                <w:rFonts w:hint="eastAsia" w:ascii="宋体" w:hAnsi="宋体" w:eastAsia="宋体" w:cs="宋体"/>
                <w:snapToGrid w:val="0"/>
                <w:szCs w:val="21"/>
              </w:rPr>
              <w:t>制定应急预案</w:t>
            </w:r>
          </w:p>
        </w:tc>
      </w:tr>
    </w:tbl>
    <w:p>
      <w:pPr>
        <w:spacing w:line="360" w:lineRule="auto"/>
        <w:ind w:firstLine="482" w:firstLineChars="200"/>
        <w:rPr>
          <w:rFonts w:ascii="宋体" w:hAnsi="宋体" w:eastAsia="宋体" w:cs="黑体"/>
          <w:b/>
          <w:sz w:val="24"/>
          <w:szCs w:val="28"/>
        </w:rPr>
      </w:pPr>
      <w:r>
        <w:rPr>
          <w:rFonts w:hint="eastAsia" w:ascii="宋体" w:hAnsi="宋体" w:eastAsia="宋体" w:cs="黑体"/>
          <w:b/>
          <w:sz w:val="24"/>
          <w:szCs w:val="28"/>
        </w:rPr>
        <w:t>（2）企业道德责任</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确保所有开展的各项生产经营业务符合诚信准则、道德规范，建立起较为完善的道德约束指标，确立用于监测组织内部、与合作伙伴之间，以及组织的治理中行为道德的主要过程及测量方法和指标，制定和履行公司合同管理、廉洁自律等方面严格的诚信、道德规范。</w:t>
      </w:r>
    </w:p>
    <w:p>
      <w:pPr>
        <w:adjustRightInd w:val="0"/>
        <w:snapToGrid w:val="0"/>
        <w:jc w:val="center"/>
        <w:rPr>
          <w:rFonts w:ascii="宋体" w:hAnsi="宋体" w:eastAsia="宋体" w:cs="宋体"/>
          <w:b/>
          <w:sz w:val="24"/>
          <w:szCs w:val="28"/>
        </w:rPr>
      </w:pPr>
      <w:r>
        <w:rPr>
          <w:rFonts w:hint="eastAsia" w:ascii="宋体" w:hAnsi="宋体" w:eastAsia="宋体" w:cs="宋体"/>
          <w:b/>
          <w:sz w:val="24"/>
          <w:szCs w:val="28"/>
        </w:rPr>
        <w:t>表6</w:t>
      </w:r>
      <w:r>
        <w:rPr>
          <w:rFonts w:ascii="宋体" w:hAnsi="宋体" w:eastAsia="宋体" w:cs="宋体"/>
          <w:b/>
          <w:sz w:val="24"/>
          <w:szCs w:val="28"/>
        </w:rPr>
        <w:t xml:space="preserve"> 公司</w:t>
      </w:r>
      <w:r>
        <w:rPr>
          <w:rFonts w:hint="eastAsia" w:ascii="宋体" w:hAnsi="宋体" w:eastAsia="宋体" w:cs="宋体"/>
          <w:b/>
          <w:sz w:val="24"/>
          <w:szCs w:val="28"/>
        </w:rPr>
        <w:t>道德行为控制</w:t>
      </w: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3715"/>
        <w:gridCol w:w="2401"/>
        <w:gridCol w:w="23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tblHeader/>
          <w:jc w:val="center"/>
        </w:trPr>
        <w:tc>
          <w:tcPr>
            <w:tcW w:w="575" w:type="pct"/>
            <w:shd w:val="clear" w:color="auto" w:fill="538135"/>
            <w:vAlign w:val="center"/>
          </w:tcPr>
          <w:p>
            <w:pPr>
              <w:spacing w:line="0" w:lineRule="atLeast"/>
              <w:jc w:val="center"/>
              <w:rPr>
                <w:rFonts w:ascii="宋体" w:hAnsi="宋体" w:eastAsia="宋体" w:cs="Times New Roman"/>
                <w:b/>
                <w:color w:val="FFFFFF"/>
                <w:sz w:val="24"/>
                <w:szCs w:val="21"/>
              </w:rPr>
            </w:pPr>
            <w:r>
              <w:rPr>
                <w:rFonts w:ascii="宋体" w:hAnsi="宋体" w:eastAsia="宋体" w:cs="Times New Roman"/>
                <w:b/>
                <w:color w:val="FFFFFF"/>
                <w:sz w:val="24"/>
                <w:szCs w:val="21"/>
              </w:rPr>
              <w:t>相关方</w:t>
            </w:r>
          </w:p>
        </w:tc>
        <w:tc>
          <w:tcPr>
            <w:tcW w:w="1940" w:type="pct"/>
            <w:shd w:val="clear" w:color="auto" w:fill="538135"/>
            <w:vAlign w:val="center"/>
          </w:tcPr>
          <w:p>
            <w:pPr>
              <w:spacing w:line="0" w:lineRule="atLeast"/>
              <w:jc w:val="center"/>
              <w:rPr>
                <w:rFonts w:ascii="宋体" w:hAnsi="宋体" w:eastAsia="宋体" w:cs="Times New Roman"/>
                <w:b/>
                <w:color w:val="FFFFFF"/>
                <w:sz w:val="24"/>
                <w:szCs w:val="21"/>
              </w:rPr>
            </w:pPr>
            <w:r>
              <w:rPr>
                <w:rFonts w:ascii="宋体" w:hAnsi="宋体" w:eastAsia="宋体" w:cs="Times New Roman"/>
                <w:b/>
                <w:color w:val="FFFFFF"/>
                <w:sz w:val="24"/>
                <w:szCs w:val="21"/>
              </w:rPr>
              <w:t>检测要求</w:t>
            </w:r>
          </w:p>
        </w:tc>
        <w:tc>
          <w:tcPr>
            <w:tcW w:w="1254" w:type="pct"/>
            <w:shd w:val="clear" w:color="auto" w:fill="538135"/>
            <w:vAlign w:val="center"/>
          </w:tcPr>
          <w:p>
            <w:pPr>
              <w:spacing w:line="0" w:lineRule="atLeast"/>
              <w:jc w:val="center"/>
              <w:rPr>
                <w:rFonts w:ascii="宋体" w:hAnsi="宋体" w:eastAsia="宋体" w:cs="Times New Roman"/>
                <w:b/>
                <w:color w:val="FFFFFF"/>
                <w:sz w:val="24"/>
                <w:szCs w:val="21"/>
              </w:rPr>
            </w:pPr>
            <w:r>
              <w:rPr>
                <w:rFonts w:hint="eastAsia" w:ascii="宋体" w:hAnsi="宋体" w:eastAsia="宋体" w:cs="Times New Roman"/>
                <w:b/>
                <w:color w:val="FFFFFF"/>
                <w:sz w:val="24"/>
                <w:szCs w:val="21"/>
              </w:rPr>
              <w:t>监测过程</w:t>
            </w:r>
          </w:p>
        </w:tc>
        <w:tc>
          <w:tcPr>
            <w:tcW w:w="1229" w:type="pct"/>
            <w:shd w:val="clear" w:color="auto" w:fill="538135"/>
            <w:vAlign w:val="center"/>
          </w:tcPr>
          <w:p>
            <w:pPr>
              <w:spacing w:line="0" w:lineRule="atLeast"/>
              <w:jc w:val="center"/>
              <w:rPr>
                <w:rFonts w:ascii="宋体" w:hAnsi="宋体" w:eastAsia="宋体" w:cs="Times New Roman"/>
                <w:b/>
                <w:color w:val="FFFFFF"/>
                <w:sz w:val="24"/>
                <w:szCs w:val="21"/>
              </w:rPr>
            </w:pPr>
            <w:r>
              <w:rPr>
                <w:rFonts w:hint="eastAsia" w:ascii="宋体" w:hAnsi="宋体" w:eastAsia="宋体" w:cs="Times New Roman"/>
                <w:b/>
                <w:color w:val="FFFFFF"/>
                <w:sz w:val="24"/>
                <w:szCs w:val="21"/>
              </w:rPr>
              <w:t>测量方法/指标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575" w:type="pct"/>
            <w:vAlign w:val="center"/>
          </w:tcPr>
          <w:p>
            <w:pPr>
              <w:spacing w:line="0" w:lineRule="atLeast"/>
              <w:jc w:val="center"/>
              <w:rPr>
                <w:rFonts w:ascii="宋体" w:hAnsi="宋体" w:eastAsia="宋体" w:cs="Times New Roman"/>
                <w:b/>
                <w:szCs w:val="21"/>
              </w:rPr>
            </w:pPr>
            <w:bookmarkStart w:id="29" w:name="_Hlk275607554"/>
            <w:r>
              <w:rPr>
                <w:rFonts w:ascii="宋体" w:hAnsi="宋体" w:eastAsia="宋体" w:cs="Times New Roman"/>
                <w:b/>
                <w:szCs w:val="21"/>
              </w:rPr>
              <w:t>顾客</w:t>
            </w:r>
          </w:p>
        </w:tc>
        <w:tc>
          <w:tcPr>
            <w:tcW w:w="1940"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信守合同、遵守法律法规</w:t>
            </w:r>
          </w:p>
        </w:tc>
        <w:tc>
          <w:tcPr>
            <w:tcW w:w="1254"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合同、审计监察、投诉</w:t>
            </w:r>
          </w:p>
        </w:tc>
        <w:tc>
          <w:tcPr>
            <w:tcW w:w="1229"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合同履约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5" w:type="pct"/>
            <w:vAlign w:val="center"/>
          </w:tcPr>
          <w:p>
            <w:pPr>
              <w:spacing w:line="0" w:lineRule="atLeast"/>
              <w:jc w:val="center"/>
              <w:rPr>
                <w:rFonts w:ascii="宋体" w:hAnsi="宋体" w:eastAsia="宋体" w:cs="Times New Roman"/>
                <w:b/>
                <w:szCs w:val="21"/>
              </w:rPr>
            </w:pPr>
            <w:r>
              <w:rPr>
                <w:rFonts w:hint="eastAsia" w:ascii="宋体" w:hAnsi="宋体" w:eastAsia="宋体" w:cs="Times New Roman"/>
                <w:b/>
                <w:szCs w:val="21"/>
              </w:rPr>
              <w:t>合作伙伴</w:t>
            </w:r>
          </w:p>
        </w:tc>
        <w:tc>
          <w:tcPr>
            <w:tcW w:w="1940"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诚实信用、顺畅沟通</w:t>
            </w:r>
          </w:p>
        </w:tc>
        <w:tc>
          <w:tcPr>
            <w:tcW w:w="1254"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合同、审计检测、评审</w:t>
            </w:r>
          </w:p>
        </w:tc>
        <w:tc>
          <w:tcPr>
            <w:tcW w:w="1229"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按合同履约、按时结算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575" w:type="pct"/>
            <w:vAlign w:val="center"/>
          </w:tcPr>
          <w:p>
            <w:pPr>
              <w:widowControl/>
              <w:spacing w:line="0" w:lineRule="atLeast"/>
              <w:jc w:val="center"/>
              <w:rPr>
                <w:rFonts w:ascii="宋体" w:hAnsi="宋体" w:eastAsia="宋体" w:cs="Times New Roman"/>
                <w:b/>
                <w:szCs w:val="21"/>
              </w:rPr>
            </w:pPr>
            <w:r>
              <w:rPr>
                <w:rFonts w:ascii="宋体" w:hAnsi="宋体" w:eastAsia="宋体" w:cs="Times New Roman"/>
                <w:b/>
                <w:szCs w:val="21"/>
              </w:rPr>
              <w:t>员工</w:t>
            </w:r>
          </w:p>
        </w:tc>
        <w:tc>
          <w:tcPr>
            <w:tcW w:w="1940" w:type="pct"/>
            <w:vAlign w:val="center"/>
          </w:tcPr>
          <w:p>
            <w:pPr>
              <w:widowControl/>
              <w:spacing w:line="0" w:lineRule="atLeast"/>
              <w:jc w:val="center"/>
              <w:rPr>
                <w:rFonts w:ascii="宋体" w:hAnsi="宋体" w:eastAsia="宋体" w:cs="Times New Roman"/>
                <w:szCs w:val="21"/>
              </w:rPr>
            </w:pPr>
            <w:r>
              <w:rPr>
                <w:rFonts w:ascii="宋体" w:hAnsi="宋体" w:eastAsia="宋体" w:cs="Times New Roman"/>
                <w:szCs w:val="21"/>
              </w:rPr>
              <w:t>符合“公平、光明”的行为规范</w:t>
            </w:r>
          </w:p>
        </w:tc>
        <w:tc>
          <w:tcPr>
            <w:tcW w:w="1254"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会议、管理评审、投诉、审计监察</w:t>
            </w:r>
          </w:p>
        </w:tc>
        <w:tc>
          <w:tcPr>
            <w:tcW w:w="1229"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劳资纠纷、违法违纪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575" w:type="pct"/>
            <w:vAlign w:val="center"/>
          </w:tcPr>
          <w:p>
            <w:pPr>
              <w:widowControl/>
              <w:spacing w:line="0" w:lineRule="atLeast"/>
              <w:jc w:val="center"/>
              <w:rPr>
                <w:rFonts w:ascii="宋体" w:hAnsi="宋体" w:eastAsia="宋体" w:cs="Times New Roman"/>
                <w:b/>
                <w:szCs w:val="21"/>
              </w:rPr>
            </w:pPr>
            <w:r>
              <w:rPr>
                <w:rFonts w:ascii="宋体" w:hAnsi="宋体" w:eastAsia="宋体" w:cs="Times New Roman"/>
                <w:b/>
                <w:szCs w:val="21"/>
              </w:rPr>
              <w:t>公司治理</w:t>
            </w:r>
          </w:p>
        </w:tc>
        <w:tc>
          <w:tcPr>
            <w:tcW w:w="1940" w:type="pct"/>
            <w:vAlign w:val="center"/>
          </w:tcPr>
          <w:p>
            <w:pPr>
              <w:widowControl/>
              <w:spacing w:line="0" w:lineRule="atLeast"/>
              <w:jc w:val="center"/>
              <w:rPr>
                <w:rFonts w:ascii="宋体" w:hAnsi="宋体" w:eastAsia="宋体" w:cs="Times New Roman"/>
                <w:szCs w:val="21"/>
              </w:rPr>
            </w:pPr>
            <w:r>
              <w:rPr>
                <w:rFonts w:ascii="宋体" w:hAnsi="宋体" w:eastAsia="宋体" w:cs="Times New Roman"/>
                <w:szCs w:val="21"/>
              </w:rPr>
              <w:t>守法、依照公司章程、尊重商业道德</w:t>
            </w:r>
          </w:p>
        </w:tc>
        <w:tc>
          <w:tcPr>
            <w:tcW w:w="1254"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会议、审计监察</w:t>
            </w:r>
          </w:p>
        </w:tc>
        <w:tc>
          <w:tcPr>
            <w:tcW w:w="1229" w:type="pct"/>
            <w:vAlign w:val="center"/>
          </w:tcPr>
          <w:p>
            <w:pPr>
              <w:spacing w:line="0" w:lineRule="atLeast"/>
              <w:jc w:val="center"/>
              <w:rPr>
                <w:rFonts w:ascii="宋体" w:hAnsi="宋体" w:eastAsia="宋体" w:cs="Times New Roman"/>
                <w:szCs w:val="21"/>
              </w:rPr>
            </w:pPr>
            <w:r>
              <w:rPr>
                <w:rFonts w:ascii="宋体" w:hAnsi="宋体" w:eastAsia="宋体" w:cs="Times New Roman"/>
                <w:szCs w:val="21"/>
              </w:rPr>
              <w:t>违法违纪</w:t>
            </w:r>
          </w:p>
        </w:tc>
      </w:tr>
      <w:bookmarkEnd w:id="29"/>
    </w:tbl>
    <w:p>
      <w:pPr>
        <w:spacing w:line="360" w:lineRule="auto"/>
        <w:ind w:firstLine="482" w:firstLineChars="200"/>
        <w:rPr>
          <w:rFonts w:ascii="宋体" w:hAnsi="宋体" w:eastAsia="宋体" w:cs="Times New Roman"/>
          <w:b/>
          <w:sz w:val="24"/>
          <w:szCs w:val="28"/>
        </w:rPr>
      </w:pPr>
      <w:r>
        <w:rPr>
          <w:rFonts w:hint="eastAsia" w:ascii="宋体" w:hAnsi="宋体" w:eastAsia="宋体" w:cs="黑体"/>
          <w:b/>
          <w:sz w:val="24"/>
          <w:szCs w:val="28"/>
        </w:rPr>
        <w:t>（3）产品质量保证承诺</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企业产品质量符合宣传广告、使用说明书、产品标签内容标识，无虚假宣传；产品生产、检验、出厂均符合国家标准要求，产品品质高；若消费者在使用我公司产品时，发现有产品质量问题或疑问，均可拨打服务热线，公司承诺对顾客任何问题均会进行及时有效解答处理。</w:t>
      </w:r>
    </w:p>
    <w:p>
      <w:pPr>
        <w:spacing w:line="360" w:lineRule="auto"/>
        <w:ind w:firstLine="466" w:firstLineChars="200"/>
        <w:jc w:val="left"/>
        <w:rPr>
          <w:rFonts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川禾机械对“浙江制造”认证产品做出以下质量承诺：</w:t>
      </w:r>
    </w:p>
    <w:p>
      <w:pPr>
        <w:pStyle w:val="29"/>
        <w:numPr>
          <w:ilvl w:val="0"/>
          <w:numId w:val="3"/>
        </w:numPr>
        <w:spacing w:line="360" w:lineRule="auto"/>
        <w:ind w:firstLineChars="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制造商承诺自交付之日起，在合规储运、使用条件下，但由于操作不当或存放时间过长造成的外观或内部的损坏除外，产品整机在1 年内或电主轴在3 年内出现质量问题，提供免费维修服务。</w:t>
      </w:r>
    </w:p>
    <w:p>
      <w:pPr>
        <w:pStyle w:val="29"/>
        <w:numPr>
          <w:ilvl w:val="0"/>
          <w:numId w:val="3"/>
        </w:numPr>
        <w:spacing w:line="360" w:lineRule="auto"/>
        <w:ind w:firstLineChars="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制造商应在客户提出问题后48 h 以内提出解决方案。</w:t>
      </w:r>
    </w:p>
    <w:p>
      <w:pPr>
        <w:spacing w:before="156" w:beforeLines="50" w:line="360" w:lineRule="auto"/>
        <w:ind w:firstLine="482" w:firstLineChars="200"/>
        <w:rPr>
          <w:rFonts w:ascii="宋体" w:hAnsi="宋体" w:eastAsia="宋体" w:cs="黑体"/>
          <w:b/>
          <w:sz w:val="24"/>
          <w:szCs w:val="28"/>
        </w:rPr>
      </w:pPr>
      <w:r>
        <w:rPr>
          <w:rFonts w:hint="eastAsia" w:ascii="宋体" w:hAnsi="宋体" w:eastAsia="宋体" w:cs="黑体"/>
          <w:b/>
          <w:sz w:val="24"/>
          <w:szCs w:val="28"/>
        </w:rPr>
        <w:t>（4）劳动保护管理</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w:t>
      </w:r>
      <w:r>
        <w:rPr>
          <w:rFonts w:ascii="宋体" w:hAnsi="宋体" w:eastAsia="宋体" w:cs="微软雅黑"/>
          <w:color w:val="000000"/>
          <w:spacing w:val="-4"/>
          <w:sz w:val="24"/>
          <w:szCs w:val="28"/>
        </w:rPr>
        <w:t>ISO45001</w:t>
      </w:r>
      <w:r>
        <w:rPr>
          <w:rFonts w:hint="eastAsia" w:ascii="宋体" w:hAnsi="宋体" w:eastAsia="宋体" w:cs="微软雅黑"/>
          <w:color w:val="000000"/>
          <w:spacing w:val="-4"/>
          <w:sz w:val="24"/>
          <w:szCs w:val="28"/>
        </w:rPr>
        <w:t>职业健康安全管理体系，保障员工的安全健康；坚持以人为本，严格执行《中华人民共和国劳动法》、《中华人民共和国安全生产法》、《中华人民共和国职业病防治法》等劳动、安全生产法律法规，努力营造健康、安全、舒适的工作环境。</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委托第三方检测机构进行职业病危害因素检查，为员工配备耳塞、劳保鞋、口罩等劳动防护用品；每年组织员工进行职业病体检，建立了职业病安全健康检查台账；不断采取治理措施和个人防护措施来改进职业健康与安全工作条件，并定期测量和控制关键工作场所的影响因素，积极为员工创建安全的工作环境。</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此外积极通过培训让员工了解安全常识和个人健康养护常识，增强个人保护能力。</w:t>
      </w:r>
    </w:p>
    <w:p>
      <w:pPr>
        <w:spacing w:line="360" w:lineRule="auto"/>
        <w:ind w:firstLine="482" w:firstLineChars="200"/>
        <w:rPr>
          <w:rFonts w:ascii="宋体" w:hAnsi="宋体" w:eastAsia="宋体" w:cs="黑体"/>
          <w:b/>
          <w:sz w:val="24"/>
          <w:szCs w:val="28"/>
        </w:rPr>
      </w:pPr>
    </w:p>
    <w:p>
      <w:pPr>
        <w:spacing w:line="360" w:lineRule="auto"/>
        <w:ind w:firstLine="482" w:firstLineChars="200"/>
        <w:rPr>
          <w:rFonts w:ascii="宋体" w:hAnsi="宋体" w:eastAsia="宋体" w:cs="黑体"/>
          <w:b/>
          <w:sz w:val="24"/>
          <w:szCs w:val="28"/>
        </w:rPr>
      </w:pPr>
      <w:r>
        <w:rPr>
          <w:rFonts w:hint="eastAsia" w:ascii="宋体" w:hAnsi="宋体" w:eastAsia="宋体" w:cs="黑体"/>
          <w:b/>
          <w:sz w:val="24"/>
          <w:szCs w:val="28"/>
        </w:rPr>
        <w:t>（5）公益支持</w:t>
      </w:r>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公司热心社会公益事业，理性、持久地进行公益投入，主要体现在慈善捐助。通过制定年度公益活动计划，从预算、人员等方面保证有计划地开展公益支持活动。通过公益事业，提升公司品牌知名度和美誉度。</w:t>
      </w:r>
    </w:p>
    <w:p>
      <w:pPr>
        <w:adjustRightInd w:val="0"/>
        <w:snapToGrid w:val="0"/>
        <w:spacing w:line="360" w:lineRule="auto"/>
        <w:ind w:left="479" w:leftChars="228"/>
        <w:jc w:val="center"/>
        <w:rPr>
          <w:rFonts w:ascii="宋体" w:hAnsi="宋体" w:eastAsia="宋体" w:cs="宋体"/>
          <w:b/>
          <w:sz w:val="24"/>
          <w:szCs w:val="28"/>
        </w:rPr>
      </w:pPr>
      <w:r>
        <w:rPr>
          <w:rFonts w:hint="eastAsia" w:ascii="宋体" w:hAnsi="宋体" w:eastAsia="宋体" w:cs="宋体"/>
          <w:b/>
          <w:sz w:val="24"/>
          <w:szCs w:val="28"/>
        </w:rPr>
        <w:t>表7公益</w:t>
      </w:r>
      <w:r>
        <w:rPr>
          <w:rFonts w:ascii="宋体" w:hAnsi="宋体" w:eastAsia="宋体" w:cs="宋体"/>
          <w:b/>
          <w:sz w:val="24"/>
          <w:szCs w:val="28"/>
        </w:rPr>
        <w:t>投入</w:t>
      </w:r>
      <w:r>
        <w:rPr>
          <w:rFonts w:hint="eastAsia" w:ascii="宋体" w:hAnsi="宋体" w:eastAsia="宋体" w:cs="宋体"/>
          <w:b/>
          <w:sz w:val="24"/>
          <w:szCs w:val="28"/>
        </w:rPr>
        <w:t>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687"/>
        <w:gridCol w:w="198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23" w:type="pct"/>
            <w:shd w:val="clear" w:color="auto" w:fill="538135"/>
            <w:vAlign w:val="center"/>
          </w:tcPr>
          <w:p>
            <w:pPr>
              <w:spacing w:line="240" w:lineRule="atLeast"/>
              <w:jc w:val="center"/>
              <w:rPr>
                <w:rFonts w:ascii="宋体" w:hAnsi="宋体" w:eastAsia="宋体" w:cs="Times New Roman"/>
                <w:b/>
                <w:color w:val="FFFFFF"/>
                <w:sz w:val="24"/>
                <w:szCs w:val="21"/>
              </w:rPr>
            </w:pPr>
            <w:r>
              <w:rPr>
                <w:rFonts w:hint="eastAsia" w:ascii="宋体" w:hAnsi="宋体" w:eastAsia="宋体" w:cs="Times New Roman"/>
                <w:b/>
                <w:color w:val="FFFFFF"/>
                <w:sz w:val="24"/>
                <w:szCs w:val="21"/>
              </w:rPr>
              <w:t>序号</w:t>
            </w:r>
          </w:p>
        </w:tc>
        <w:tc>
          <w:tcPr>
            <w:tcW w:w="2448" w:type="pct"/>
            <w:shd w:val="clear" w:color="auto" w:fill="538135"/>
            <w:vAlign w:val="center"/>
          </w:tcPr>
          <w:p>
            <w:pPr>
              <w:spacing w:line="240" w:lineRule="atLeast"/>
              <w:jc w:val="center"/>
              <w:rPr>
                <w:rFonts w:ascii="宋体" w:hAnsi="宋体" w:eastAsia="宋体" w:cs="Times New Roman"/>
                <w:b/>
                <w:color w:val="FFFFFF"/>
                <w:sz w:val="24"/>
                <w:szCs w:val="21"/>
              </w:rPr>
            </w:pPr>
            <w:r>
              <w:rPr>
                <w:rFonts w:hint="eastAsia" w:ascii="宋体" w:hAnsi="宋体" w:eastAsia="宋体" w:cs="Times New Roman"/>
                <w:b/>
                <w:color w:val="FFFFFF"/>
                <w:sz w:val="24"/>
                <w:szCs w:val="21"/>
              </w:rPr>
              <w:t>内容</w:t>
            </w:r>
          </w:p>
        </w:tc>
        <w:tc>
          <w:tcPr>
            <w:tcW w:w="1037" w:type="pct"/>
            <w:shd w:val="clear" w:color="auto" w:fill="538135"/>
            <w:vAlign w:val="center"/>
          </w:tcPr>
          <w:p>
            <w:pPr>
              <w:spacing w:line="240" w:lineRule="atLeast"/>
              <w:jc w:val="center"/>
              <w:rPr>
                <w:rFonts w:ascii="宋体" w:hAnsi="宋体" w:eastAsia="宋体" w:cs="Times New Roman"/>
                <w:b/>
                <w:color w:val="FFFFFF"/>
                <w:sz w:val="24"/>
                <w:szCs w:val="21"/>
              </w:rPr>
            </w:pPr>
            <w:r>
              <w:rPr>
                <w:rFonts w:hint="eastAsia" w:ascii="宋体" w:hAnsi="宋体" w:eastAsia="宋体" w:cs="Times New Roman"/>
                <w:b/>
                <w:color w:val="FFFFFF"/>
                <w:sz w:val="24"/>
                <w:szCs w:val="21"/>
              </w:rPr>
              <w:t>金额</w:t>
            </w:r>
          </w:p>
        </w:tc>
        <w:tc>
          <w:tcPr>
            <w:tcW w:w="1090" w:type="pct"/>
            <w:shd w:val="clear" w:color="auto" w:fill="538135"/>
            <w:vAlign w:val="center"/>
          </w:tcPr>
          <w:p>
            <w:pPr>
              <w:spacing w:line="240" w:lineRule="atLeast"/>
              <w:jc w:val="center"/>
              <w:rPr>
                <w:rFonts w:ascii="宋体" w:hAnsi="宋体" w:eastAsia="宋体" w:cs="Times New Roman"/>
                <w:b/>
                <w:color w:val="FFFFFF"/>
                <w:sz w:val="24"/>
                <w:szCs w:val="21"/>
              </w:rPr>
            </w:pPr>
            <w:r>
              <w:rPr>
                <w:rFonts w:hint="eastAsia" w:ascii="宋体" w:hAnsi="宋体" w:eastAsia="宋体" w:cs="Times New Roman"/>
                <w:b/>
                <w:color w:val="FFFFFF"/>
                <w:sz w:val="24"/>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vAlign w:val="center"/>
          </w:tcPr>
          <w:p>
            <w:pPr>
              <w:widowControl/>
              <w:jc w:val="center"/>
              <w:rPr>
                <w:rFonts w:asciiTheme="minorEastAsia" w:hAnsiTheme="minorEastAsia"/>
              </w:rPr>
            </w:pPr>
            <w:r>
              <w:rPr>
                <w:rFonts w:hint="eastAsia" w:asciiTheme="minorEastAsia" w:hAnsiTheme="minorEastAsia"/>
              </w:rPr>
              <w:t>1</w:t>
            </w:r>
          </w:p>
        </w:tc>
        <w:tc>
          <w:tcPr>
            <w:tcW w:w="2448" w:type="pct"/>
            <w:vAlign w:val="center"/>
          </w:tcPr>
          <w:p>
            <w:pPr>
              <w:jc w:val="center"/>
              <w:rPr>
                <w:rFonts w:asciiTheme="minorEastAsia" w:hAnsiTheme="minorEastAsia"/>
              </w:rPr>
            </w:pPr>
            <w:r>
              <w:rPr>
                <w:rFonts w:hint="eastAsia" w:asciiTheme="minorEastAsia" w:hAnsiTheme="minorEastAsia"/>
              </w:rPr>
              <w:t>浙江同济科技职业学院教育基金会用于支持学校现代学徒制教学改革</w:t>
            </w:r>
          </w:p>
        </w:tc>
        <w:tc>
          <w:tcPr>
            <w:tcW w:w="1037" w:type="pct"/>
            <w:vAlign w:val="center"/>
          </w:tcPr>
          <w:p>
            <w:pPr>
              <w:jc w:val="center"/>
              <w:rPr>
                <w:rFonts w:asciiTheme="minorEastAsia" w:hAnsiTheme="minorEastAsia"/>
              </w:rPr>
            </w:pPr>
            <w:r>
              <w:rPr>
                <w:rFonts w:hint="eastAsia" w:ascii="宋体" w:hAnsi="宋体" w:eastAsia="宋体" w:cs="宋体"/>
              </w:rPr>
              <w:t>50000.00</w:t>
            </w:r>
          </w:p>
        </w:tc>
        <w:tc>
          <w:tcPr>
            <w:tcW w:w="1090" w:type="pct"/>
            <w:vAlign w:val="center"/>
          </w:tcPr>
          <w:p>
            <w:pPr>
              <w:jc w:val="center"/>
              <w:rPr>
                <w:rFonts w:asciiTheme="minorEastAsia" w:hAnsiTheme="minorEastAsia"/>
              </w:rPr>
            </w:pPr>
            <w:r>
              <w:rPr>
                <w:rFonts w:hint="eastAsia" w:ascii="宋体" w:hAnsi="宋体" w:eastAsia="宋体" w:cs="宋体"/>
              </w:rPr>
              <w:t>2022年1月10日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vAlign w:val="center"/>
          </w:tcPr>
          <w:p>
            <w:pPr>
              <w:widowControl/>
              <w:jc w:val="center"/>
              <w:rPr>
                <w:rFonts w:hint="eastAsia" w:asciiTheme="minorEastAsia" w:hAnsiTheme="minorEastAsia" w:eastAsiaTheme="minorEastAsia"/>
                <w:lang w:val="en-US" w:eastAsia="zh-CN"/>
              </w:rPr>
            </w:pPr>
            <w:bookmarkStart w:id="30" w:name="_Toc48809484"/>
            <w:r>
              <w:rPr>
                <w:rFonts w:hint="eastAsia" w:asciiTheme="minorEastAsia" w:hAnsiTheme="minorEastAsia"/>
                <w:lang w:val="en-US" w:eastAsia="zh-CN"/>
              </w:rPr>
              <w:t>2</w:t>
            </w:r>
          </w:p>
        </w:tc>
        <w:tc>
          <w:tcPr>
            <w:tcW w:w="2448" w:type="pct"/>
            <w:vAlign w:val="center"/>
          </w:tcPr>
          <w:p>
            <w:pPr>
              <w:jc w:val="center"/>
              <w:rPr>
                <w:rFonts w:hint="default" w:asciiTheme="minorEastAsia" w:hAnsiTheme="minorEastAsia" w:eastAsiaTheme="minorEastAsia"/>
                <w:lang w:val="en-US" w:eastAsia="zh-CN"/>
              </w:rPr>
            </w:pPr>
            <w:r>
              <w:rPr>
                <w:rFonts w:hint="eastAsia" w:asciiTheme="minorEastAsia" w:hAnsiTheme="minorEastAsia"/>
              </w:rPr>
              <w:t>杭州市萧山区慈善总会</w:t>
            </w:r>
            <w:r>
              <w:rPr>
                <w:rFonts w:hint="eastAsia" w:asciiTheme="minorEastAsia" w:hAnsiTheme="minorEastAsia"/>
                <w:lang w:val="en-US" w:eastAsia="zh-CN"/>
              </w:rPr>
              <w:t>用于支持慈善事业</w:t>
            </w:r>
          </w:p>
        </w:tc>
        <w:tc>
          <w:tcPr>
            <w:tcW w:w="1037" w:type="pct"/>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1000000.00</w:t>
            </w:r>
          </w:p>
        </w:tc>
        <w:tc>
          <w:tcPr>
            <w:tcW w:w="1090" w:type="pct"/>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2023年12月28日</w:t>
            </w:r>
          </w:p>
        </w:tc>
      </w:tr>
    </w:tbl>
    <w:p>
      <w:pPr>
        <w:spacing w:before="156" w:beforeLines="50" w:line="360" w:lineRule="auto"/>
        <w:outlineLvl w:val="2"/>
        <w:rPr>
          <w:rFonts w:ascii="宋体" w:hAnsi="宋体" w:eastAsia="宋体" w:cs="楷体"/>
          <w:b/>
          <w:color w:val="000000"/>
          <w:sz w:val="28"/>
          <w:szCs w:val="32"/>
        </w:rPr>
      </w:pPr>
    </w:p>
    <w:p>
      <w:pPr>
        <w:spacing w:before="156" w:beforeLines="50" w:line="360" w:lineRule="auto"/>
        <w:outlineLvl w:val="2"/>
        <w:rPr>
          <w:rFonts w:ascii="宋体" w:hAnsi="宋体" w:eastAsia="宋体" w:cs="楷体"/>
          <w:b/>
          <w:color w:val="000000"/>
          <w:sz w:val="28"/>
          <w:szCs w:val="32"/>
        </w:rPr>
      </w:pPr>
      <w:r>
        <w:rPr>
          <w:rFonts w:hint="eastAsia" w:ascii="宋体" w:hAnsi="宋体" w:eastAsia="宋体" w:cs="楷体"/>
          <w:b/>
          <w:color w:val="000000"/>
          <w:sz w:val="28"/>
          <w:szCs w:val="32"/>
        </w:rPr>
        <w:t>（四）质量诚信记录</w:t>
      </w:r>
      <w:bookmarkEnd w:id="30"/>
      <w:bookmarkStart w:id="33" w:name="_GoBack"/>
      <w:bookmarkEnd w:id="33"/>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本公司产品质量稳定，暂无不良质量记录。</w:t>
      </w:r>
    </w:p>
    <w:p>
      <w:pPr>
        <w:spacing w:before="312" w:beforeLines="100" w:after="312" w:afterLines="100" w:line="360" w:lineRule="auto"/>
        <w:jc w:val="center"/>
        <w:outlineLvl w:val="0"/>
        <w:rPr>
          <w:rFonts w:ascii="黑体" w:hAnsi="黑体" w:eastAsia="黑体" w:cs="宋体"/>
          <w:color w:val="000000"/>
          <w:kern w:val="32"/>
          <w:sz w:val="32"/>
          <w:szCs w:val="32"/>
        </w:rPr>
      </w:pPr>
      <w:bookmarkStart w:id="31" w:name="_Toc11669277"/>
      <w:bookmarkStart w:id="32" w:name="_Toc48809485"/>
    </w:p>
    <w:p>
      <w:pPr>
        <w:spacing w:before="312" w:beforeLines="100" w:after="312" w:afterLines="100" w:line="360" w:lineRule="auto"/>
        <w:jc w:val="center"/>
        <w:outlineLvl w:val="0"/>
        <w:rPr>
          <w:rFonts w:ascii="黑体" w:hAnsi="黑体" w:eastAsia="黑体" w:cs="宋体"/>
          <w:color w:val="000000"/>
          <w:kern w:val="32"/>
          <w:sz w:val="32"/>
          <w:szCs w:val="32"/>
        </w:rPr>
      </w:pPr>
    </w:p>
    <w:p>
      <w:pPr>
        <w:spacing w:before="312" w:beforeLines="100" w:after="312" w:afterLines="100" w:line="360" w:lineRule="auto"/>
        <w:jc w:val="center"/>
        <w:outlineLvl w:val="0"/>
        <w:rPr>
          <w:rFonts w:ascii="黑体" w:hAnsi="黑体" w:eastAsia="黑体" w:cs="宋体"/>
          <w:color w:val="000000"/>
          <w:kern w:val="32"/>
          <w:sz w:val="32"/>
          <w:szCs w:val="32"/>
        </w:rPr>
      </w:pPr>
      <w:r>
        <w:rPr>
          <w:rFonts w:hint="eastAsia" w:ascii="黑体" w:hAnsi="黑体" w:eastAsia="黑体" w:cs="宋体"/>
          <w:color w:val="000000"/>
          <w:kern w:val="32"/>
          <w:sz w:val="32"/>
          <w:szCs w:val="32"/>
        </w:rPr>
        <w:t xml:space="preserve">第三部分 </w:t>
      </w:r>
      <w:r>
        <w:rPr>
          <w:rFonts w:hint="eastAsia" w:ascii="黑体" w:hAnsi="黑体" w:eastAsia="黑体" w:cs="楷体"/>
          <w:bCs/>
          <w:color w:val="000000"/>
          <w:kern w:val="32"/>
          <w:sz w:val="32"/>
          <w:szCs w:val="32"/>
        </w:rPr>
        <w:t>报告结语</w:t>
      </w:r>
      <w:bookmarkEnd w:id="31"/>
      <w:bookmarkEnd w:id="32"/>
    </w:p>
    <w:p>
      <w:pPr>
        <w:spacing w:line="360" w:lineRule="auto"/>
        <w:ind w:firstLine="464" w:firstLineChars="200"/>
        <w:jc w:val="left"/>
        <w:rPr>
          <w:rFonts w:ascii="宋体" w:hAnsi="宋体" w:eastAsia="宋体" w:cs="微软雅黑"/>
          <w:color w:val="000000"/>
          <w:spacing w:val="-4"/>
          <w:sz w:val="24"/>
          <w:szCs w:val="28"/>
        </w:rPr>
      </w:pPr>
      <w:r>
        <w:rPr>
          <w:rFonts w:hint="eastAsia" w:ascii="宋体" w:hAnsi="宋体" w:eastAsia="宋体" w:cs="微软雅黑"/>
          <w:color w:val="000000"/>
          <w:spacing w:val="-4"/>
          <w:sz w:val="24"/>
          <w:szCs w:val="28"/>
        </w:rPr>
        <w:t>审视过去，公司全面落实生产企业的质量安全主体责任，不断完善产品结构。从影响产品质量的每一个环节入手，不断完善企业内部各项管理制度，持续改进质量管理体系的运行质量，塑造良好的企业文化，打造卓越产品。</w:t>
      </w:r>
    </w:p>
    <w:p>
      <w:pPr>
        <w:spacing w:line="360" w:lineRule="auto"/>
        <w:ind w:firstLine="464" w:firstLineChars="200"/>
        <w:jc w:val="left"/>
        <w:rPr>
          <w:rFonts w:ascii="宋体" w:hAnsi="宋体" w:eastAsia="宋体" w:cs="仿宋_GB2312"/>
          <w:color w:val="000000"/>
          <w:sz w:val="24"/>
          <w:szCs w:val="28"/>
        </w:rPr>
      </w:pPr>
      <w:r>
        <w:rPr>
          <w:rFonts w:hint="eastAsia" w:ascii="宋体" w:hAnsi="宋体" w:eastAsia="宋体" w:cs="微软雅黑"/>
          <w:color w:val="000000"/>
          <w:spacing w:val="-4"/>
          <w:sz w:val="24"/>
          <w:szCs w:val="28"/>
        </w:rPr>
        <w:t>放眼未来，我们将以卓越的产品质量占领市场，以良好的信誉留住客户，推进质量管理体系的持续改进和高效运行，全面强化全员维护品牌形象。公司坚信以质量为基，诚信为本，向质量要效益、促发展，才真正达到诚信经营、以质取胜！</w:t>
      </w:r>
    </w:p>
    <w:sectPr>
      <w:headerReference r:id="rId4" w:type="default"/>
      <w:footerReference r:id="rId5" w:type="default"/>
      <w:pgSz w:w="11906" w:h="16838"/>
      <w:pgMar w:top="1418" w:right="1134"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9C9346-DB4B-4DAD-BB46-950A13F43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Calibri"/>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今晚月色真美呢">
    <w:altName w:val="宋体"/>
    <w:panose1 w:val="00000000000000000000"/>
    <w:charset w:val="86"/>
    <w:family w:val="auto"/>
    <w:pitch w:val="default"/>
    <w:sig w:usb0="00000000" w:usb1="00000000" w:usb2="00000012" w:usb3="00000000" w:csb0="00040001" w:csb1="00000000"/>
    <w:embedRegular r:id="rId2" w:fontKey="{BC25D677-BD7F-4E2F-9E09-9A49D858341E}"/>
  </w:font>
  <w:font w:name="楷体">
    <w:panose1 w:val="02010609060101010101"/>
    <w:charset w:val="86"/>
    <w:family w:val="modern"/>
    <w:pitch w:val="default"/>
    <w:sig w:usb0="800002BF" w:usb1="38CF7CFA" w:usb2="00000016" w:usb3="00000000" w:csb0="00040001" w:csb1="00000000"/>
    <w:embedRegular r:id="rId3" w:fontKey="{31A41988-0C21-4DC9-AD54-A5DCC9414901}"/>
  </w:font>
  <w:font w:name="微软雅黑">
    <w:panose1 w:val="020B0503020204020204"/>
    <w:charset w:val="86"/>
    <w:family w:val="swiss"/>
    <w:pitch w:val="default"/>
    <w:sig w:usb0="80000287" w:usb1="2ACF3C50" w:usb2="00000016" w:usb3="00000000" w:csb0="0004001F" w:csb1="00000000"/>
    <w:embedRegular r:id="rId4" w:fontKey="{F66571EA-7E36-425D-83AB-7900F44779B0}"/>
  </w:font>
  <w:font w:name="仿宋_GB2312">
    <w:altName w:val="仿宋"/>
    <w:panose1 w:val="00000000000000000000"/>
    <w:charset w:val="86"/>
    <w:family w:val="modern"/>
    <w:pitch w:val="default"/>
    <w:sig w:usb0="00000000" w:usb1="00000000" w:usb2="00000010" w:usb3="00000000" w:csb0="00040000" w:csb1="00000000"/>
    <w:embedRegular r:id="rId5" w:fontKey="{20D3A7B4-CDBC-455E-B1BA-3681DC6A7B9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20570"/>
    <w:multiLevelType w:val="multilevel"/>
    <w:tmpl w:val="44C205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D985D94"/>
    <w:multiLevelType w:val="multilevel"/>
    <w:tmpl w:val="5D985D94"/>
    <w:lvl w:ilvl="0" w:tentative="0">
      <w:start w:val="1"/>
      <w:numFmt w:val="bullet"/>
      <w:lvlText w:val=""/>
      <w:lvlJc w:val="left"/>
      <w:pPr>
        <w:ind w:left="884" w:hanging="420"/>
      </w:pPr>
      <w:rPr>
        <w:rFonts w:hint="default" w:ascii="Wingdings" w:hAnsi="Wingdings"/>
      </w:rPr>
    </w:lvl>
    <w:lvl w:ilvl="1" w:tentative="0">
      <w:start w:val="1"/>
      <w:numFmt w:val="bullet"/>
      <w:lvlText w:val=""/>
      <w:lvlJc w:val="left"/>
      <w:pPr>
        <w:ind w:left="1304" w:hanging="420"/>
      </w:pPr>
      <w:rPr>
        <w:rFonts w:hint="default" w:ascii="Wingdings" w:hAnsi="Wingdings"/>
      </w:rPr>
    </w:lvl>
    <w:lvl w:ilvl="2" w:tentative="0">
      <w:start w:val="1"/>
      <w:numFmt w:val="bullet"/>
      <w:lvlText w:val=""/>
      <w:lvlJc w:val="left"/>
      <w:pPr>
        <w:ind w:left="1724" w:hanging="420"/>
      </w:pPr>
      <w:rPr>
        <w:rFonts w:hint="default" w:ascii="Wingdings" w:hAnsi="Wingdings"/>
      </w:rPr>
    </w:lvl>
    <w:lvl w:ilvl="3" w:tentative="0">
      <w:start w:val="1"/>
      <w:numFmt w:val="bullet"/>
      <w:lvlText w:val=""/>
      <w:lvlJc w:val="left"/>
      <w:pPr>
        <w:ind w:left="2144" w:hanging="420"/>
      </w:pPr>
      <w:rPr>
        <w:rFonts w:hint="default" w:ascii="Wingdings" w:hAnsi="Wingdings"/>
      </w:rPr>
    </w:lvl>
    <w:lvl w:ilvl="4" w:tentative="0">
      <w:start w:val="1"/>
      <w:numFmt w:val="bullet"/>
      <w:lvlText w:val=""/>
      <w:lvlJc w:val="left"/>
      <w:pPr>
        <w:ind w:left="2564" w:hanging="420"/>
      </w:pPr>
      <w:rPr>
        <w:rFonts w:hint="default" w:ascii="Wingdings" w:hAnsi="Wingdings"/>
      </w:rPr>
    </w:lvl>
    <w:lvl w:ilvl="5" w:tentative="0">
      <w:start w:val="1"/>
      <w:numFmt w:val="bullet"/>
      <w:lvlText w:val=""/>
      <w:lvlJc w:val="left"/>
      <w:pPr>
        <w:ind w:left="2984" w:hanging="420"/>
      </w:pPr>
      <w:rPr>
        <w:rFonts w:hint="default" w:ascii="Wingdings" w:hAnsi="Wingdings"/>
      </w:rPr>
    </w:lvl>
    <w:lvl w:ilvl="6" w:tentative="0">
      <w:start w:val="1"/>
      <w:numFmt w:val="bullet"/>
      <w:lvlText w:val=""/>
      <w:lvlJc w:val="left"/>
      <w:pPr>
        <w:ind w:left="3404" w:hanging="420"/>
      </w:pPr>
      <w:rPr>
        <w:rFonts w:hint="default" w:ascii="Wingdings" w:hAnsi="Wingdings"/>
      </w:rPr>
    </w:lvl>
    <w:lvl w:ilvl="7" w:tentative="0">
      <w:start w:val="1"/>
      <w:numFmt w:val="bullet"/>
      <w:lvlText w:val=""/>
      <w:lvlJc w:val="left"/>
      <w:pPr>
        <w:ind w:left="3824" w:hanging="420"/>
      </w:pPr>
      <w:rPr>
        <w:rFonts w:hint="default" w:ascii="Wingdings" w:hAnsi="Wingdings"/>
      </w:rPr>
    </w:lvl>
    <w:lvl w:ilvl="8" w:tentative="0">
      <w:start w:val="1"/>
      <w:numFmt w:val="bullet"/>
      <w:lvlText w:val=""/>
      <w:lvlJc w:val="left"/>
      <w:pPr>
        <w:ind w:left="4244" w:hanging="420"/>
      </w:pPr>
      <w:rPr>
        <w:rFonts w:hint="default" w:ascii="Wingdings" w:hAnsi="Wingdings"/>
      </w:rPr>
    </w:lvl>
  </w:abstractNum>
  <w:abstractNum w:abstractNumId="2">
    <w:nsid w:val="62E528AC"/>
    <w:multiLevelType w:val="multilevel"/>
    <w:tmpl w:val="62E528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NGJiYTBjOTFiMGVkODNmYWQxNTRmOTc5NmYxMTYifQ=="/>
    <w:docVar w:name="KSO_WPS_MARK_KEY" w:val="61d4c8f0-e719-42f9-bb53-8e5a3391991b"/>
  </w:docVars>
  <w:rsids>
    <w:rsidRoot w:val="00172A27"/>
    <w:rsid w:val="0003170D"/>
    <w:rsid w:val="00046BDE"/>
    <w:rsid w:val="00061D99"/>
    <w:rsid w:val="0008411E"/>
    <w:rsid w:val="000A2D86"/>
    <w:rsid w:val="000D0A29"/>
    <w:rsid w:val="000D383D"/>
    <w:rsid w:val="000F167B"/>
    <w:rsid w:val="001155A3"/>
    <w:rsid w:val="00130459"/>
    <w:rsid w:val="00141F01"/>
    <w:rsid w:val="0014237A"/>
    <w:rsid w:val="00172A27"/>
    <w:rsid w:val="00173B72"/>
    <w:rsid w:val="001758D6"/>
    <w:rsid w:val="00176DA0"/>
    <w:rsid w:val="001772AE"/>
    <w:rsid w:val="00181886"/>
    <w:rsid w:val="001B0E30"/>
    <w:rsid w:val="001B451C"/>
    <w:rsid w:val="001B50A6"/>
    <w:rsid w:val="001B7ACF"/>
    <w:rsid w:val="001D7582"/>
    <w:rsid w:val="001E3AAD"/>
    <w:rsid w:val="001F5476"/>
    <w:rsid w:val="00216FA3"/>
    <w:rsid w:val="00226D6D"/>
    <w:rsid w:val="00234446"/>
    <w:rsid w:val="0024751F"/>
    <w:rsid w:val="00251D1B"/>
    <w:rsid w:val="00252497"/>
    <w:rsid w:val="00255C95"/>
    <w:rsid w:val="00263A6A"/>
    <w:rsid w:val="00277FE1"/>
    <w:rsid w:val="00280228"/>
    <w:rsid w:val="00294A9B"/>
    <w:rsid w:val="002A5449"/>
    <w:rsid w:val="002C1BD7"/>
    <w:rsid w:val="002C3275"/>
    <w:rsid w:val="002D7C08"/>
    <w:rsid w:val="002E1625"/>
    <w:rsid w:val="002F1AC9"/>
    <w:rsid w:val="002F6F34"/>
    <w:rsid w:val="002F7E82"/>
    <w:rsid w:val="00315884"/>
    <w:rsid w:val="00325B1C"/>
    <w:rsid w:val="00337B75"/>
    <w:rsid w:val="00340CC4"/>
    <w:rsid w:val="0035656B"/>
    <w:rsid w:val="003661D5"/>
    <w:rsid w:val="003663D4"/>
    <w:rsid w:val="003709BB"/>
    <w:rsid w:val="00376103"/>
    <w:rsid w:val="00376A4E"/>
    <w:rsid w:val="003827EB"/>
    <w:rsid w:val="00383A91"/>
    <w:rsid w:val="00386739"/>
    <w:rsid w:val="003935F4"/>
    <w:rsid w:val="003A423A"/>
    <w:rsid w:val="003A4DDE"/>
    <w:rsid w:val="003B360A"/>
    <w:rsid w:val="003D67B3"/>
    <w:rsid w:val="003F37C4"/>
    <w:rsid w:val="0043022F"/>
    <w:rsid w:val="00447395"/>
    <w:rsid w:val="0045370A"/>
    <w:rsid w:val="00454269"/>
    <w:rsid w:val="00454E98"/>
    <w:rsid w:val="0045517D"/>
    <w:rsid w:val="00462867"/>
    <w:rsid w:val="00485FDD"/>
    <w:rsid w:val="004B6689"/>
    <w:rsid w:val="004B6DD5"/>
    <w:rsid w:val="004C69CD"/>
    <w:rsid w:val="004C79B0"/>
    <w:rsid w:val="004F4620"/>
    <w:rsid w:val="004F514F"/>
    <w:rsid w:val="004F64F8"/>
    <w:rsid w:val="00500D70"/>
    <w:rsid w:val="00501646"/>
    <w:rsid w:val="0050495C"/>
    <w:rsid w:val="0052437D"/>
    <w:rsid w:val="0053091F"/>
    <w:rsid w:val="00530B8B"/>
    <w:rsid w:val="005542DF"/>
    <w:rsid w:val="005544AD"/>
    <w:rsid w:val="00561B2E"/>
    <w:rsid w:val="00575A2D"/>
    <w:rsid w:val="00590D1B"/>
    <w:rsid w:val="00592B4D"/>
    <w:rsid w:val="00595267"/>
    <w:rsid w:val="0059627A"/>
    <w:rsid w:val="005A3C62"/>
    <w:rsid w:val="005A3F9F"/>
    <w:rsid w:val="005B377F"/>
    <w:rsid w:val="005B5904"/>
    <w:rsid w:val="005C1A3A"/>
    <w:rsid w:val="005C6158"/>
    <w:rsid w:val="005D2B4D"/>
    <w:rsid w:val="005F24EB"/>
    <w:rsid w:val="006103FC"/>
    <w:rsid w:val="0061259A"/>
    <w:rsid w:val="00612973"/>
    <w:rsid w:val="00614292"/>
    <w:rsid w:val="006260D2"/>
    <w:rsid w:val="00646A4C"/>
    <w:rsid w:val="00682E71"/>
    <w:rsid w:val="006D1744"/>
    <w:rsid w:val="00713AEB"/>
    <w:rsid w:val="0071437A"/>
    <w:rsid w:val="00715474"/>
    <w:rsid w:val="00722DED"/>
    <w:rsid w:val="0074623B"/>
    <w:rsid w:val="00757C21"/>
    <w:rsid w:val="0077355C"/>
    <w:rsid w:val="007B74C3"/>
    <w:rsid w:val="007B788C"/>
    <w:rsid w:val="007B7EFB"/>
    <w:rsid w:val="007C4A75"/>
    <w:rsid w:val="007D21DE"/>
    <w:rsid w:val="008009C0"/>
    <w:rsid w:val="00805BF3"/>
    <w:rsid w:val="00805D5A"/>
    <w:rsid w:val="00821C25"/>
    <w:rsid w:val="00826C27"/>
    <w:rsid w:val="00833676"/>
    <w:rsid w:val="00835A0D"/>
    <w:rsid w:val="00864940"/>
    <w:rsid w:val="00882B42"/>
    <w:rsid w:val="00893EDD"/>
    <w:rsid w:val="008A7BCD"/>
    <w:rsid w:val="008F53F7"/>
    <w:rsid w:val="008F5424"/>
    <w:rsid w:val="009062C6"/>
    <w:rsid w:val="00906A1C"/>
    <w:rsid w:val="009178FB"/>
    <w:rsid w:val="009321E0"/>
    <w:rsid w:val="0094008E"/>
    <w:rsid w:val="009410E5"/>
    <w:rsid w:val="00942560"/>
    <w:rsid w:val="00980051"/>
    <w:rsid w:val="00982AC3"/>
    <w:rsid w:val="00991C8C"/>
    <w:rsid w:val="00992537"/>
    <w:rsid w:val="009A1D61"/>
    <w:rsid w:val="009B66FF"/>
    <w:rsid w:val="009B7087"/>
    <w:rsid w:val="009B74D1"/>
    <w:rsid w:val="009C163F"/>
    <w:rsid w:val="009C6C3A"/>
    <w:rsid w:val="009D194E"/>
    <w:rsid w:val="009D45C4"/>
    <w:rsid w:val="009D5E48"/>
    <w:rsid w:val="009E59E2"/>
    <w:rsid w:val="00A05868"/>
    <w:rsid w:val="00A13D43"/>
    <w:rsid w:val="00A151CC"/>
    <w:rsid w:val="00A177CF"/>
    <w:rsid w:val="00A21132"/>
    <w:rsid w:val="00A25F95"/>
    <w:rsid w:val="00A35EA2"/>
    <w:rsid w:val="00A404BF"/>
    <w:rsid w:val="00A45363"/>
    <w:rsid w:val="00A531E2"/>
    <w:rsid w:val="00A55294"/>
    <w:rsid w:val="00A6180C"/>
    <w:rsid w:val="00A62436"/>
    <w:rsid w:val="00A66873"/>
    <w:rsid w:val="00AA6214"/>
    <w:rsid w:val="00AB5840"/>
    <w:rsid w:val="00AB6444"/>
    <w:rsid w:val="00AD6A7B"/>
    <w:rsid w:val="00AF516F"/>
    <w:rsid w:val="00B02918"/>
    <w:rsid w:val="00B05952"/>
    <w:rsid w:val="00B602B8"/>
    <w:rsid w:val="00B60A19"/>
    <w:rsid w:val="00B63EE1"/>
    <w:rsid w:val="00B64999"/>
    <w:rsid w:val="00B734CF"/>
    <w:rsid w:val="00B7413E"/>
    <w:rsid w:val="00B916C3"/>
    <w:rsid w:val="00BA5843"/>
    <w:rsid w:val="00BB345F"/>
    <w:rsid w:val="00BB64D0"/>
    <w:rsid w:val="00BC1BBB"/>
    <w:rsid w:val="00BF1302"/>
    <w:rsid w:val="00BF6ABE"/>
    <w:rsid w:val="00C21D5B"/>
    <w:rsid w:val="00C54635"/>
    <w:rsid w:val="00C6401D"/>
    <w:rsid w:val="00CA5B78"/>
    <w:rsid w:val="00CA77D4"/>
    <w:rsid w:val="00CC6EF1"/>
    <w:rsid w:val="00CE1794"/>
    <w:rsid w:val="00D04E55"/>
    <w:rsid w:val="00D059B8"/>
    <w:rsid w:val="00D31CF3"/>
    <w:rsid w:val="00D32D18"/>
    <w:rsid w:val="00D41FCE"/>
    <w:rsid w:val="00D9239A"/>
    <w:rsid w:val="00DA1D7B"/>
    <w:rsid w:val="00DB570F"/>
    <w:rsid w:val="00DC2592"/>
    <w:rsid w:val="00DD39BF"/>
    <w:rsid w:val="00DD5051"/>
    <w:rsid w:val="00DF4CC0"/>
    <w:rsid w:val="00DF70DE"/>
    <w:rsid w:val="00E07927"/>
    <w:rsid w:val="00E31712"/>
    <w:rsid w:val="00E32C0D"/>
    <w:rsid w:val="00E477B9"/>
    <w:rsid w:val="00E55550"/>
    <w:rsid w:val="00E57161"/>
    <w:rsid w:val="00E80A83"/>
    <w:rsid w:val="00E97090"/>
    <w:rsid w:val="00EC4C84"/>
    <w:rsid w:val="00ED5632"/>
    <w:rsid w:val="00ED6131"/>
    <w:rsid w:val="00EE4780"/>
    <w:rsid w:val="00EE4A1F"/>
    <w:rsid w:val="00F21B3B"/>
    <w:rsid w:val="00F4565B"/>
    <w:rsid w:val="00F620BA"/>
    <w:rsid w:val="00F709BF"/>
    <w:rsid w:val="00F72C16"/>
    <w:rsid w:val="00F8355A"/>
    <w:rsid w:val="00F84775"/>
    <w:rsid w:val="00FA15B8"/>
    <w:rsid w:val="00FA4138"/>
    <w:rsid w:val="00FE0713"/>
    <w:rsid w:val="00FF67A9"/>
    <w:rsid w:val="01186163"/>
    <w:rsid w:val="016B09AA"/>
    <w:rsid w:val="019D4603"/>
    <w:rsid w:val="01C87818"/>
    <w:rsid w:val="02130775"/>
    <w:rsid w:val="023A6577"/>
    <w:rsid w:val="02950A93"/>
    <w:rsid w:val="030D18C8"/>
    <w:rsid w:val="04B51424"/>
    <w:rsid w:val="04E06D75"/>
    <w:rsid w:val="05F95B90"/>
    <w:rsid w:val="06BF13BA"/>
    <w:rsid w:val="075C176D"/>
    <w:rsid w:val="0A091B1B"/>
    <w:rsid w:val="0B010968"/>
    <w:rsid w:val="0B605302"/>
    <w:rsid w:val="0D3870CE"/>
    <w:rsid w:val="0D3B3001"/>
    <w:rsid w:val="0EBE5404"/>
    <w:rsid w:val="0F7225DF"/>
    <w:rsid w:val="10633651"/>
    <w:rsid w:val="10AE607F"/>
    <w:rsid w:val="12D565D7"/>
    <w:rsid w:val="13010750"/>
    <w:rsid w:val="131D5A75"/>
    <w:rsid w:val="142253FB"/>
    <w:rsid w:val="14C25E4C"/>
    <w:rsid w:val="15176FD7"/>
    <w:rsid w:val="18886733"/>
    <w:rsid w:val="1888774C"/>
    <w:rsid w:val="18F17765"/>
    <w:rsid w:val="1A123A70"/>
    <w:rsid w:val="1B616B15"/>
    <w:rsid w:val="1B666CB1"/>
    <w:rsid w:val="1B921EE2"/>
    <w:rsid w:val="1CCA238B"/>
    <w:rsid w:val="1CDA4E25"/>
    <w:rsid w:val="1D9D36BE"/>
    <w:rsid w:val="1E7B339D"/>
    <w:rsid w:val="1F38014B"/>
    <w:rsid w:val="1F3928BC"/>
    <w:rsid w:val="1F4C71E0"/>
    <w:rsid w:val="1F6544CA"/>
    <w:rsid w:val="1F7470F2"/>
    <w:rsid w:val="21D15A50"/>
    <w:rsid w:val="234930E7"/>
    <w:rsid w:val="234F26E4"/>
    <w:rsid w:val="25444A66"/>
    <w:rsid w:val="267F3D47"/>
    <w:rsid w:val="276E0DC5"/>
    <w:rsid w:val="28536FE0"/>
    <w:rsid w:val="28FD21CA"/>
    <w:rsid w:val="2A256726"/>
    <w:rsid w:val="2A3C405D"/>
    <w:rsid w:val="2AA62E82"/>
    <w:rsid w:val="2AD953E5"/>
    <w:rsid w:val="2B2858CA"/>
    <w:rsid w:val="2BFA4673"/>
    <w:rsid w:val="2C4C5E44"/>
    <w:rsid w:val="2F7D6339"/>
    <w:rsid w:val="31016157"/>
    <w:rsid w:val="318E2F91"/>
    <w:rsid w:val="32746510"/>
    <w:rsid w:val="32F611A1"/>
    <w:rsid w:val="3540073E"/>
    <w:rsid w:val="39CA781C"/>
    <w:rsid w:val="39CE50A0"/>
    <w:rsid w:val="3A8D47C0"/>
    <w:rsid w:val="3AEB4BF8"/>
    <w:rsid w:val="3B870691"/>
    <w:rsid w:val="3BB26D75"/>
    <w:rsid w:val="3BCA7101"/>
    <w:rsid w:val="3D0754BF"/>
    <w:rsid w:val="3D771F0D"/>
    <w:rsid w:val="3DAA586D"/>
    <w:rsid w:val="3E8E4499"/>
    <w:rsid w:val="406B4000"/>
    <w:rsid w:val="40741A04"/>
    <w:rsid w:val="40FD5F5E"/>
    <w:rsid w:val="421E3886"/>
    <w:rsid w:val="423D527E"/>
    <w:rsid w:val="42911D33"/>
    <w:rsid w:val="429B7977"/>
    <w:rsid w:val="43343C98"/>
    <w:rsid w:val="43663D19"/>
    <w:rsid w:val="4482717F"/>
    <w:rsid w:val="45644380"/>
    <w:rsid w:val="46335748"/>
    <w:rsid w:val="46EA2BF3"/>
    <w:rsid w:val="474D6D10"/>
    <w:rsid w:val="47630C50"/>
    <w:rsid w:val="47A65C47"/>
    <w:rsid w:val="48FB097F"/>
    <w:rsid w:val="49C73E1A"/>
    <w:rsid w:val="4A0067D1"/>
    <w:rsid w:val="4A0B0AFE"/>
    <w:rsid w:val="4A3A11F4"/>
    <w:rsid w:val="4F0663CE"/>
    <w:rsid w:val="4F0F3263"/>
    <w:rsid w:val="4F670EA4"/>
    <w:rsid w:val="4FD0002C"/>
    <w:rsid w:val="506B184D"/>
    <w:rsid w:val="51832895"/>
    <w:rsid w:val="51A05A56"/>
    <w:rsid w:val="526B3037"/>
    <w:rsid w:val="53A249CE"/>
    <w:rsid w:val="53EF74E3"/>
    <w:rsid w:val="548065E6"/>
    <w:rsid w:val="55A70716"/>
    <w:rsid w:val="55E609C7"/>
    <w:rsid w:val="56123415"/>
    <w:rsid w:val="568C0286"/>
    <w:rsid w:val="57B61732"/>
    <w:rsid w:val="581D5EB2"/>
    <w:rsid w:val="581F232F"/>
    <w:rsid w:val="582E3A30"/>
    <w:rsid w:val="58DF52AA"/>
    <w:rsid w:val="59CE4666"/>
    <w:rsid w:val="5A330A41"/>
    <w:rsid w:val="5B374138"/>
    <w:rsid w:val="5B602697"/>
    <w:rsid w:val="5C983330"/>
    <w:rsid w:val="5DC545E8"/>
    <w:rsid w:val="5E1442C8"/>
    <w:rsid w:val="5E753D69"/>
    <w:rsid w:val="5ED92E70"/>
    <w:rsid w:val="62340BFC"/>
    <w:rsid w:val="629D4533"/>
    <w:rsid w:val="6314713C"/>
    <w:rsid w:val="63471173"/>
    <w:rsid w:val="635B7675"/>
    <w:rsid w:val="644B5670"/>
    <w:rsid w:val="64896196"/>
    <w:rsid w:val="648E0C81"/>
    <w:rsid w:val="64BA11E3"/>
    <w:rsid w:val="65ED116B"/>
    <w:rsid w:val="668150FD"/>
    <w:rsid w:val="67F53661"/>
    <w:rsid w:val="684F3401"/>
    <w:rsid w:val="689B7F59"/>
    <w:rsid w:val="6B1B6720"/>
    <w:rsid w:val="6CF859D4"/>
    <w:rsid w:val="6D285B1A"/>
    <w:rsid w:val="6D7C3A46"/>
    <w:rsid w:val="6F3832C4"/>
    <w:rsid w:val="6FA55B9A"/>
    <w:rsid w:val="70226E99"/>
    <w:rsid w:val="705E593C"/>
    <w:rsid w:val="71D2715E"/>
    <w:rsid w:val="7321121D"/>
    <w:rsid w:val="749916C1"/>
    <w:rsid w:val="75603854"/>
    <w:rsid w:val="7595097D"/>
    <w:rsid w:val="76DE74A7"/>
    <w:rsid w:val="76EE540D"/>
    <w:rsid w:val="78ED3304"/>
    <w:rsid w:val="79087374"/>
    <w:rsid w:val="799D2F6E"/>
    <w:rsid w:val="79A921CB"/>
    <w:rsid w:val="79BC0A44"/>
    <w:rsid w:val="7A04291A"/>
    <w:rsid w:val="7B8A5282"/>
    <w:rsid w:val="7BC13821"/>
    <w:rsid w:val="7CE96963"/>
    <w:rsid w:val="7D3A5D16"/>
    <w:rsid w:val="7D910137"/>
    <w:rsid w:val="7E5C65C8"/>
    <w:rsid w:val="7ED643F3"/>
    <w:rsid w:val="7FE37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2"/>
    <w:qFormat/>
    <w:uiPriority w:val="0"/>
    <w:pPr>
      <w:jc w:val="left"/>
    </w:pPr>
  </w:style>
  <w:style w:type="paragraph" w:styleId="4">
    <w:name w:val="Body Text"/>
    <w:basedOn w:val="1"/>
    <w:link w:val="22"/>
    <w:qFormat/>
    <w:uiPriority w:val="0"/>
    <w:pPr>
      <w:autoSpaceDE w:val="0"/>
      <w:autoSpaceDN w:val="0"/>
      <w:ind w:left="1040"/>
      <w:jc w:val="left"/>
    </w:pPr>
    <w:rPr>
      <w:rFonts w:ascii="Noto Sans CJK JP Regular" w:hAnsi="Noto Sans CJK JP Regular" w:eastAsia="Noto Sans CJK JP Regular" w:cs="Noto Sans CJK JP Regular"/>
      <w:kern w:val="0"/>
      <w:sz w:val="24"/>
      <w:lang w:eastAsia="en-US"/>
    </w:rPr>
  </w:style>
  <w:style w:type="paragraph" w:styleId="5">
    <w:name w:val="toc 3"/>
    <w:basedOn w:val="1"/>
    <w:next w:val="1"/>
    <w:qFormat/>
    <w:uiPriority w:val="39"/>
    <w:pPr>
      <w:ind w:left="840" w:leftChars="400"/>
    </w:pPr>
  </w:style>
  <w:style w:type="paragraph" w:styleId="6">
    <w:name w:val="Balloon Text"/>
    <w:basedOn w:val="1"/>
    <w:link w:val="21"/>
    <w:qFormat/>
    <w:uiPriority w:val="0"/>
    <w:rPr>
      <w:sz w:val="18"/>
      <w:szCs w:val="18"/>
    </w:rPr>
  </w:style>
  <w:style w:type="paragraph" w:styleId="7">
    <w:name w:val="footer"/>
    <w:link w:val="23"/>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next w:val="1"/>
    <w:qFormat/>
    <w:uiPriority w:val="39"/>
    <w:pPr>
      <w:widowControl w:val="0"/>
      <w:spacing w:before="120" w:after="120"/>
    </w:pPr>
    <w:rPr>
      <w:rFonts w:ascii="等线" w:hAnsi="Times New Roman" w:eastAsia="等线" w:cs="Times New Roman"/>
      <w:b/>
      <w:bCs/>
      <w:caps/>
      <w:kern w:val="2"/>
      <w:lang w:val="en-US" w:eastAsia="zh-CN" w:bidi="ar-SA"/>
    </w:rPr>
  </w:style>
  <w:style w:type="paragraph" w:styleId="10">
    <w:name w:val="toc 2"/>
    <w:next w:val="1"/>
    <w:qFormat/>
    <w:uiPriority w:val="39"/>
    <w:pPr>
      <w:widowControl w:val="0"/>
      <w:ind w:left="210"/>
    </w:pPr>
    <w:rPr>
      <w:rFonts w:ascii="等线" w:hAnsi="Times New Roman" w:eastAsia="等线" w:cs="Times New Roman"/>
      <w:smallCaps/>
      <w:kern w:val="2"/>
      <w:lang w:val="en-US" w:eastAsia="zh-CN" w:bidi="ar-SA"/>
    </w:rPr>
  </w:style>
  <w:style w:type="paragraph" w:styleId="11">
    <w:name w:val="annotation subject"/>
    <w:basedOn w:val="3"/>
    <w:next w:val="3"/>
    <w:link w:val="33"/>
    <w:qFormat/>
    <w:uiPriority w:val="0"/>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rFonts w:cs="Times New Roman"/>
      <w:color w:val="0000FF"/>
      <w:spacing w:val="0"/>
      <w:w w:val="100"/>
      <w:sz w:val="21"/>
      <w:u w:val="single"/>
    </w:rPr>
  </w:style>
  <w:style w:type="character" w:styleId="16">
    <w:name w:val="annotation reference"/>
    <w:basedOn w:val="14"/>
    <w:qFormat/>
    <w:uiPriority w:val="0"/>
    <w:rPr>
      <w:sz w:val="21"/>
      <w:szCs w:val="21"/>
    </w:rPr>
  </w:style>
  <w:style w:type="paragraph" w:customStyle="1" w:styleId="17">
    <w:name w:val="正文 New"/>
    <w:qFormat/>
    <w:uiPriority w:val="0"/>
    <w:pPr>
      <w:widowControl w:val="0"/>
      <w:spacing w:beforeLines="50" w:afterLines="50" w:line="440" w:lineRule="exact"/>
      <w:ind w:firstLine="640" w:firstLineChars="200"/>
      <w:jc w:val="both"/>
    </w:pPr>
    <w:rPr>
      <w:rFonts w:ascii="Times New Roman" w:hAnsi="Times New Roman" w:eastAsia="宋体" w:cs="Times New Roman"/>
      <w:sz w:val="24"/>
      <w:szCs w:val="24"/>
      <w:lang w:val="en-US" w:eastAsia="zh-CN" w:bidi="ar-SA"/>
    </w:rPr>
  </w:style>
  <w:style w:type="paragraph" w:customStyle="1" w:styleId="18">
    <w:name w:val="列表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9">
    <w:name w:val="表格内容"/>
    <w:qFormat/>
    <w:uiPriority w:val="99"/>
    <w:pPr>
      <w:spacing w:line="300" w:lineRule="auto"/>
    </w:pPr>
    <w:rPr>
      <w:rFonts w:ascii="宋体" w:hAnsi="Times New Roman" w:eastAsia="宋体" w:cs="宋体"/>
      <w:spacing w:val="-2"/>
      <w:sz w:val="18"/>
      <w:szCs w:val="18"/>
      <w:lang w:val="en-US" w:eastAsia="zh-CN" w:bidi="ar-SA"/>
    </w:rPr>
  </w:style>
  <w:style w:type="paragraph" w:customStyle="1" w:styleId="20">
    <w:name w:val="样式2"/>
    <w:qFormat/>
    <w:uiPriority w:val="99"/>
    <w:pPr>
      <w:widowControl w:val="0"/>
      <w:spacing w:line="440" w:lineRule="exact"/>
      <w:ind w:firstLine="480" w:firstLineChars="200"/>
      <w:jc w:val="both"/>
    </w:pPr>
    <w:rPr>
      <w:rFonts w:ascii="黑体" w:hAnsi="宋体" w:eastAsia="黑体" w:cs="黑体"/>
      <w:kern w:val="2"/>
      <w:sz w:val="24"/>
      <w:szCs w:val="24"/>
      <w:lang w:val="en-US" w:eastAsia="zh-CN" w:bidi="ar-SA"/>
    </w:rPr>
  </w:style>
  <w:style w:type="character" w:customStyle="1" w:styleId="21">
    <w:name w:val="批注框文本 字符"/>
    <w:basedOn w:val="14"/>
    <w:link w:val="6"/>
    <w:qFormat/>
    <w:uiPriority w:val="0"/>
    <w:rPr>
      <w:kern w:val="2"/>
      <w:sz w:val="18"/>
      <w:szCs w:val="18"/>
    </w:rPr>
  </w:style>
  <w:style w:type="character" w:customStyle="1" w:styleId="22">
    <w:name w:val="正文文本 字符"/>
    <w:basedOn w:val="14"/>
    <w:link w:val="4"/>
    <w:qFormat/>
    <w:uiPriority w:val="0"/>
    <w:rPr>
      <w:rFonts w:ascii="Noto Sans CJK JP Regular" w:hAnsi="Noto Sans CJK JP Regular" w:eastAsia="Noto Sans CJK JP Regular" w:cs="Noto Sans CJK JP Regular"/>
      <w:sz w:val="24"/>
      <w:szCs w:val="24"/>
      <w:lang w:eastAsia="en-US"/>
    </w:rPr>
  </w:style>
  <w:style w:type="character" w:customStyle="1" w:styleId="23">
    <w:name w:val="页脚 字符"/>
    <w:basedOn w:val="14"/>
    <w:link w:val="7"/>
    <w:qFormat/>
    <w:uiPriority w:val="99"/>
    <w:rPr>
      <w:rFonts w:ascii="Times New Roman" w:hAnsi="Times New Roman" w:eastAsia="宋体" w:cs="Times New Roman"/>
      <w:kern w:val="2"/>
      <w:sz w:val="18"/>
      <w:szCs w:val="18"/>
    </w:rPr>
  </w:style>
  <w:style w:type="paragraph" w:customStyle="1" w:styleId="24">
    <w:name w:val="列出段落1"/>
    <w:basedOn w:val="1"/>
    <w:qFormat/>
    <w:uiPriority w:val="0"/>
    <w:pPr>
      <w:ind w:firstLine="420" w:firstLineChars="200"/>
    </w:pPr>
  </w:style>
  <w:style w:type="character" w:customStyle="1" w:styleId="25">
    <w:name w:val="font01"/>
    <w:basedOn w:val="14"/>
    <w:qFormat/>
    <w:uiPriority w:val="0"/>
    <w:rPr>
      <w:rFonts w:ascii="Times New Roman" w:hAnsi="Times New Roman" w:cs="Times New Roman"/>
      <w:b/>
      <w:color w:val="000000"/>
      <w:sz w:val="24"/>
      <w:szCs w:val="24"/>
      <w:u w:val="none"/>
    </w:rPr>
  </w:style>
  <w:style w:type="character" w:customStyle="1" w:styleId="26">
    <w:name w:val="fontstyle01"/>
    <w:basedOn w:val="14"/>
    <w:qFormat/>
    <w:uiPriority w:val="0"/>
    <w:rPr>
      <w:rFonts w:hint="eastAsia" w:ascii="宋体" w:hAnsi="宋体" w:eastAsia="宋体"/>
      <w:color w:val="000000"/>
      <w:sz w:val="22"/>
      <w:szCs w:val="22"/>
    </w:rPr>
  </w:style>
  <w:style w:type="character" w:customStyle="1" w:styleId="27">
    <w:name w:val="fontstyle21"/>
    <w:basedOn w:val="14"/>
    <w:qFormat/>
    <w:uiPriority w:val="0"/>
    <w:rPr>
      <w:rFonts w:hint="eastAsia" w:ascii="黑体" w:hAnsi="黑体" w:eastAsia="黑体"/>
      <w:color w:val="000000"/>
      <w:sz w:val="22"/>
      <w:szCs w:val="22"/>
    </w:rPr>
  </w:style>
  <w:style w:type="character" w:customStyle="1" w:styleId="28">
    <w:name w:val="页眉 字符"/>
    <w:basedOn w:val="14"/>
    <w:link w:val="8"/>
    <w:qFormat/>
    <w:uiPriority w:val="99"/>
    <w:rPr>
      <w:rFonts w:asciiTheme="minorHAnsi" w:hAnsiTheme="minorHAnsi" w:eastAsiaTheme="minorEastAsia" w:cstheme="minorBidi"/>
      <w:kern w:val="2"/>
      <w:sz w:val="18"/>
      <w:szCs w:val="24"/>
    </w:rPr>
  </w:style>
  <w:style w:type="paragraph" w:styleId="29">
    <w:name w:val="List Paragraph"/>
    <w:basedOn w:val="1"/>
    <w:unhideWhenUsed/>
    <w:qFormat/>
    <w:uiPriority w:val="99"/>
    <w:pPr>
      <w:ind w:firstLine="420" w:firstLineChars="200"/>
    </w:pPr>
  </w:style>
  <w:style w:type="paragraph" w:customStyle="1" w:styleId="30">
    <w:name w:val="段"/>
    <w:link w:val="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段 Char"/>
    <w:link w:val="30"/>
    <w:qFormat/>
    <w:locked/>
    <w:uiPriority w:val="0"/>
    <w:rPr>
      <w:rFonts w:ascii="宋体"/>
      <w:sz w:val="21"/>
    </w:rPr>
  </w:style>
  <w:style w:type="character" w:customStyle="1" w:styleId="32">
    <w:name w:val="批注文字 字符"/>
    <w:basedOn w:val="14"/>
    <w:link w:val="3"/>
    <w:qFormat/>
    <w:uiPriority w:val="0"/>
    <w:rPr>
      <w:rFonts w:asciiTheme="minorHAnsi" w:hAnsiTheme="minorHAnsi" w:eastAsiaTheme="minorEastAsia" w:cstheme="minorBidi"/>
      <w:kern w:val="2"/>
      <w:sz w:val="21"/>
      <w:szCs w:val="24"/>
    </w:rPr>
  </w:style>
  <w:style w:type="character" w:customStyle="1" w:styleId="33">
    <w:name w:val="批注主题 字符"/>
    <w:basedOn w:val="32"/>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52EC-91C7-461D-B516-0EA1B7365CE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9078</Words>
  <Characters>9276</Characters>
  <Lines>68</Lines>
  <Paragraphs>19</Paragraphs>
  <TotalTime>9</TotalTime>
  <ScaleCrop>false</ScaleCrop>
  <LinksUpToDate>false</LinksUpToDate>
  <CharactersWithSpaces>9301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2023-06-18T15:23:00Z</dcterms:created>
  <dc:creator>Administrator</dc:creator>
  <cp:lastModifiedBy>唱青春里的故事</cp:lastModifiedBy>
  <dcterms:modified xsi:type="dcterms:W3CDTF">2024-05-31T06:15:38Z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B883AA9055054E09A7EF0F9AD756038D</vt:lpwstr>
  </property>
</Properties>
</file>